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5591D">
      <w:pPr>
        <w:adjustRightInd w:val="0"/>
        <w:snapToGrid w:val="0"/>
        <w:outlineLvl w:val="0"/>
        <w:rPr>
          <w:rFonts w:hint="eastAsia" w:ascii="方正小标宋_GBK" w:eastAsia="方正小标宋_GBK"/>
          <w:bCs/>
          <w:sz w:val="72"/>
          <w:szCs w:val="72"/>
          <w:lang w:eastAsia="zh-CN"/>
        </w:rPr>
      </w:pPr>
    </w:p>
    <w:p w14:paraId="60135943">
      <w:pPr>
        <w:adjustRightInd w:val="0"/>
        <w:snapToGrid w:val="0"/>
        <w:outlineLvl w:val="0"/>
        <w:rPr>
          <w:rFonts w:ascii="方正小标宋_GBK" w:eastAsia="方正小标宋_GBK"/>
          <w:bCs/>
          <w:sz w:val="72"/>
          <w:szCs w:val="72"/>
        </w:rPr>
      </w:pPr>
    </w:p>
    <w:p w14:paraId="04828679">
      <w:pPr>
        <w:adjustRightInd w:val="0"/>
        <w:snapToGrid w:val="0"/>
        <w:jc w:val="center"/>
        <w:outlineLvl w:val="0"/>
        <w:rPr>
          <w:rFonts w:ascii="宋体" w:hAnsi="宋体" w:cs="宋体"/>
          <w:bCs/>
          <w:sz w:val="72"/>
          <w:szCs w:val="72"/>
        </w:rPr>
      </w:pPr>
      <w:r>
        <w:rPr>
          <w:rFonts w:hint="eastAsia" w:ascii="宋体" w:hAnsi="宋体" w:cs="宋体"/>
          <w:bCs/>
          <w:sz w:val="72"/>
          <w:szCs w:val="72"/>
        </w:rPr>
        <w:t>建设项目环境影响报告表</w:t>
      </w:r>
    </w:p>
    <w:p w14:paraId="27024970">
      <w:pPr>
        <w:adjustRightInd w:val="0"/>
        <w:snapToGrid w:val="0"/>
        <w:spacing w:beforeLines="80"/>
        <w:jc w:val="center"/>
        <w:rPr>
          <w:rFonts w:ascii="宋体" w:hAnsi="宋体" w:cs="宋体"/>
          <w:bCs/>
          <w:sz w:val="48"/>
          <w:szCs w:val="48"/>
        </w:rPr>
      </w:pPr>
      <w:r>
        <w:rPr>
          <w:rFonts w:hint="eastAsia" w:ascii="宋体" w:hAnsi="宋体" w:cs="宋体"/>
          <w:bCs/>
          <w:sz w:val="48"/>
          <w:szCs w:val="48"/>
        </w:rPr>
        <w:t>（生态影响类）</w:t>
      </w:r>
    </w:p>
    <w:p w14:paraId="670EAD1B">
      <w:pPr>
        <w:spacing w:line="460" w:lineRule="exact"/>
        <w:jc w:val="center"/>
        <w:rPr>
          <w:rFonts w:eastAsia="仿宋"/>
          <w:sz w:val="52"/>
          <w:szCs w:val="52"/>
        </w:rPr>
      </w:pPr>
    </w:p>
    <w:p w14:paraId="702E217D">
      <w:pPr>
        <w:pStyle w:val="27"/>
      </w:pPr>
    </w:p>
    <w:p w14:paraId="3E528317">
      <w:pPr>
        <w:spacing w:line="460" w:lineRule="exact"/>
        <w:ind w:firstLine="1040"/>
        <w:rPr>
          <w:rFonts w:eastAsia="仿宋"/>
          <w:sz w:val="44"/>
          <w:szCs w:val="44"/>
        </w:rPr>
      </w:pPr>
    </w:p>
    <w:p w14:paraId="050A2A96">
      <w:pPr>
        <w:spacing w:line="460" w:lineRule="exact"/>
        <w:ind w:firstLine="1040"/>
        <w:rPr>
          <w:rFonts w:eastAsia="仿宋"/>
          <w:sz w:val="44"/>
          <w:szCs w:val="44"/>
        </w:rPr>
      </w:pPr>
    </w:p>
    <w:p w14:paraId="27EAECA3">
      <w:pPr>
        <w:spacing w:line="460" w:lineRule="exact"/>
        <w:ind w:firstLine="1040"/>
        <w:rPr>
          <w:rFonts w:eastAsia="仿宋"/>
          <w:sz w:val="44"/>
          <w:szCs w:val="44"/>
        </w:rPr>
      </w:pPr>
    </w:p>
    <w:p w14:paraId="55CFCD51">
      <w:pPr>
        <w:spacing w:line="460" w:lineRule="exact"/>
        <w:ind w:firstLine="1040"/>
        <w:rPr>
          <w:rFonts w:eastAsia="仿宋"/>
          <w:sz w:val="44"/>
          <w:szCs w:val="44"/>
        </w:rPr>
      </w:pPr>
    </w:p>
    <w:p w14:paraId="2A325688">
      <w:pPr>
        <w:adjustRightInd w:val="0"/>
        <w:snapToGrid w:val="0"/>
        <w:spacing w:line="540" w:lineRule="auto"/>
        <w:ind w:left="1804" w:leftChars="142" w:hanging="1506" w:hangingChars="500"/>
        <w:rPr>
          <w:rFonts w:ascii="宋体" w:hAnsi="宋体"/>
          <w:b/>
          <w:kern w:val="0"/>
          <w:sz w:val="30"/>
          <w:szCs w:val="30"/>
          <w:u w:val="single"/>
        </w:rPr>
      </w:pPr>
      <w:r>
        <w:rPr>
          <w:rFonts w:hint="eastAsia" w:ascii="宋体" w:hAnsi="宋体"/>
          <w:b/>
          <w:kern w:val="0"/>
          <w:sz w:val="30"/>
          <w:szCs w:val="30"/>
        </w:rPr>
        <w:t>项目名称：</w:t>
      </w:r>
      <w:r>
        <w:rPr>
          <w:rFonts w:hint="eastAsia" w:ascii="宋体" w:hAnsi="宋体"/>
          <w:b/>
          <w:kern w:val="0"/>
          <w:sz w:val="30"/>
          <w:szCs w:val="30"/>
          <w:u w:val="single"/>
        </w:rPr>
        <w:t xml:space="preserve">京能吐鲁番市托克逊县产业园区低碳转型光伏项目220千伏输变电工程                         </w:t>
      </w:r>
    </w:p>
    <w:p w14:paraId="47D97F36">
      <w:pPr>
        <w:adjustRightInd w:val="0"/>
        <w:snapToGrid w:val="0"/>
        <w:spacing w:line="540" w:lineRule="auto"/>
        <w:ind w:firstLine="301" w:firstLineChars="100"/>
        <w:rPr>
          <w:rFonts w:ascii="宋体" w:hAnsi="宋体"/>
          <w:b/>
          <w:kern w:val="0"/>
          <w:sz w:val="30"/>
          <w:szCs w:val="30"/>
          <w:u w:val="single"/>
        </w:rPr>
      </w:pPr>
      <w:r>
        <w:rPr>
          <w:rFonts w:hint="eastAsia" w:ascii="宋体" w:hAnsi="宋体"/>
          <w:b/>
          <w:kern w:val="0"/>
          <w:sz w:val="30"/>
          <w:szCs w:val="30"/>
        </w:rPr>
        <w:t>建设单位（盖章）：</w:t>
      </w:r>
      <w:r>
        <w:rPr>
          <w:rFonts w:hint="eastAsia" w:ascii="宋体" w:hAnsi="宋体"/>
          <w:b/>
          <w:kern w:val="0"/>
          <w:sz w:val="30"/>
          <w:szCs w:val="30"/>
          <w:u w:val="single"/>
        </w:rPr>
        <w:t xml:space="preserve">托克逊京能氢宇新能源有限公司      </w:t>
      </w:r>
    </w:p>
    <w:p w14:paraId="0B092545">
      <w:pPr>
        <w:adjustRightInd w:val="0"/>
        <w:snapToGrid w:val="0"/>
        <w:spacing w:line="540" w:lineRule="auto"/>
        <w:ind w:firstLine="301" w:firstLineChars="100"/>
        <w:rPr>
          <w:rFonts w:ascii="仿宋_GB2312" w:eastAsia="仿宋_GB2312"/>
          <w:sz w:val="36"/>
          <w:szCs w:val="36"/>
          <w:u w:val="single"/>
        </w:rPr>
      </w:pPr>
      <w:r>
        <w:rPr>
          <w:rFonts w:hint="eastAsia" w:ascii="宋体" w:hAnsi="宋体"/>
          <w:b/>
          <w:kern w:val="0"/>
          <w:sz w:val="30"/>
          <w:szCs w:val="30"/>
        </w:rPr>
        <w:t>编制日期：</w:t>
      </w:r>
      <w:r>
        <w:rPr>
          <w:rFonts w:hint="eastAsia" w:ascii="宋体" w:hAnsi="宋体"/>
          <w:b/>
          <w:kern w:val="0"/>
          <w:sz w:val="30"/>
          <w:szCs w:val="30"/>
          <w:u w:val="single"/>
        </w:rPr>
        <w:t xml:space="preserve">      2025年</w:t>
      </w:r>
      <w:r>
        <w:rPr>
          <w:rFonts w:hint="eastAsia" w:ascii="宋体" w:hAnsi="宋体"/>
          <w:b/>
          <w:kern w:val="0"/>
          <w:sz w:val="30"/>
          <w:szCs w:val="30"/>
          <w:u w:val="single"/>
          <w:lang w:val="en-US" w:eastAsia="zh-CN"/>
        </w:rPr>
        <w:t>3</w:t>
      </w:r>
      <w:r>
        <w:rPr>
          <w:rFonts w:hint="eastAsia" w:ascii="宋体" w:hAnsi="宋体"/>
          <w:b/>
          <w:kern w:val="0"/>
          <w:sz w:val="30"/>
          <w:szCs w:val="30"/>
          <w:u w:val="single"/>
        </w:rPr>
        <w:t>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68C39725">
      <w:pPr>
        <w:adjustRightInd w:val="0"/>
        <w:snapToGrid w:val="0"/>
        <w:spacing w:line="600" w:lineRule="exact"/>
        <w:ind w:firstLine="1040"/>
        <w:rPr>
          <w:rFonts w:ascii="仿宋_GB2312" w:eastAsia="仿宋_GB2312"/>
          <w:sz w:val="36"/>
          <w:szCs w:val="36"/>
          <w:u w:val="single"/>
        </w:rPr>
      </w:pPr>
      <w:bookmarkStart w:id="0" w:name="_Hlk57884087"/>
    </w:p>
    <w:p w14:paraId="2CE846ED">
      <w:pPr>
        <w:adjustRightInd w:val="0"/>
        <w:snapToGrid w:val="0"/>
        <w:spacing w:line="460" w:lineRule="exact"/>
        <w:rPr>
          <w:rFonts w:ascii="仿宋_GB2312" w:eastAsia="仿宋_GB2312"/>
          <w:sz w:val="36"/>
          <w:szCs w:val="36"/>
        </w:rPr>
      </w:pPr>
    </w:p>
    <w:p w14:paraId="1532582B">
      <w:pPr>
        <w:adjustRightInd w:val="0"/>
        <w:snapToGrid w:val="0"/>
        <w:spacing w:line="460" w:lineRule="exact"/>
        <w:ind w:firstLine="1040"/>
        <w:rPr>
          <w:rFonts w:ascii="仿宋_GB2312" w:eastAsia="仿宋_GB2312"/>
          <w:sz w:val="36"/>
          <w:szCs w:val="36"/>
        </w:rPr>
      </w:pPr>
    </w:p>
    <w:bookmarkEnd w:id="0"/>
    <w:p w14:paraId="02A5069D">
      <w:pPr>
        <w:adjustRightInd w:val="0"/>
        <w:snapToGrid w:val="0"/>
        <w:spacing w:line="460" w:lineRule="exact"/>
        <w:jc w:val="center"/>
        <w:rPr>
          <w:rFonts w:ascii="楷体_GB2312" w:eastAsia="楷体_GB2312"/>
          <w:sz w:val="36"/>
          <w:szCs w:val="36"/>
        </w:rPr>
      </w:pPr>
    </w:p>
    <w:p w14:paraId="66C63FF0">
      <w:pPr>
        <w:pStyle w:val="27"/>
        <w:rPr>
          <w:rFonts w:ascii="楷体_GB2312" w:eastAsia="楷体_GB2312"/>
          <w:color w:val="auto"/>
          <w:sz w:val="36"/>
          <w:szCs w:val="36"/>
        </w:rPr>
      </w:pPr>
    </w:p>
    <w:p w14:paraId="429BA7F4">
      <w:pPr>
        <w:pStyle w:val="29"/>
        <w:ind w:left="105" w:right="105" w:firstLine="562"/>
      </w:pPr>
    </w:p>
    <w:p w14:paraId="2A119020">
      <w:pPr>
        <w:adjustRightInd w:val="0"/>
        <w:snapToGrid w:val="0"/>
        <w:spacing w:line="460" w:lineRule="exact"/>
        <w:jc w:val="center"/>
        <w:rPr>
          <w:rFonts w:ascii="宋体" w:hAnsi="宋体" w:cs="宋体"/>
          <w:b/>
          <w:bCs/>
          <w:sz w:val="36"/>
          <w:szCs w:val="36"/>
        </w:rPr>
      </w:pPr>
      <w:r>
        <w:rPr>
          <w:rFonts w:hint="eastAsia" w:ascii="宋体" w:hAnsi="宋体" w:cs="宋体"/>
          <w:b/>
          <w:bCs/>
          <w:sz w:val="36"/>
          <w:szCs w:val="36"/>
        </w:rPr>
        <w:t>中华人民共和国生态环境部制</w:t>
      </w:r>
    </w:p>
    <w:p w14:paraId="452FEAA9">
      <w:pPr>
        <w:rPr>
          <w:rFonts w:ascii="宋体" w:hAnsi="宋体" w:cs="宋体"/>
          <w:b/>
          <w:bCs/>
          <w:sz w:val="36"/>
          <w:szCs w:val="36"/>
        </w:rPr>
      </w:pPr>
      <w:r>
        <w:rPr>
          <w:rFonts w:hint="eastAsia" w:ascii="宋体" w:hAnsi="宋体" w:cs="宋体"/>
          <w:b/>
          <w:bCs/>
          <w:sz w:val="36"/>
          <w:szCs w:val="36"/>
        </w:rPr>
        <w:br w:type="page"/>
      </w:r>
    </w:p>
    <w:p w14:paraId="2D5D82CC">
      <w:r>
        <w:br w:type="page"/>
      </w:r>
    </w:p>
    <w:p w14:paraId="3AC00206">
      <w:pPr>
        <w:sectPr>
          <w:footerReference r:id="rId3" w:type="default"/>
          <w:pgSz w:w="11906" w:h="16839"/>
          <w:pgMar w:top="1440" w:right="1803" w:bottom="1440" w:left="1803" w:header="0" w:footer="1115" w:gutter="0"/>
          <w:cols w:space="720" w:num="1"/>
        </w:sectPr>
      </w:pPr>
    </w:p>
    <w:p w14:paraId="3AF3C75F">
      <w:pPr>
        <w:pStyle w:val="19"/>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1"/>
        <w:tblW w:w="91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895"/>
        <w:gridCol w:w="1240"/>
        <w:gridCol w:w="2252"/>
        <w:gridCol w:w="1734"/>
        <w:gridCol w:w="3046"/>
      </w:tblGrid>
      <w:tr w14:paraId="63F45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2135" w:type="dxa"/>
            <w:gridSpan w:val="2"/>
            <w:tcMar>
              <w:top w:w="16" w:type="dxa"/>
              <w:left w:w="16" w:type="dxa"/>
              <w:right w:w="16" w:type="dxa"/>
            </w:tcMar>
            <w:vAlign w:val="center"/>
          </w:tcPr>
          <w:p w14:paraId="7A1BC08B">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建设项目名称</w:t>
            </w:r>
          </w:p>
        </w:tc>
        <w:tc>
          <w:tcPr>
            <w:tcW w:w="7032" w:type="dxa"/>
            <w:gridSpan w:val="3"/>
            <w:vAlign w:val="center"/>
          </w:tcPr>
          <w:p w14:paraId="08FB3927">
            <w:pPr>
              <w:keepNext w:val="0"/>
              <w:keepLines w:val="0"/>
              <w:suppressLineNumbers w:val="0"/>
              <w:adjustRightInd w:val="0"/>
              <w:snapToGrid w:val="0"/>
              <w:spacing w:before="0" w:beforeAutospacing="0" w:after="0" w:afterAutospacing="0" w:line="400" w:lineRule="exact"/>
              <w:ind w:left="0" w:right="0"/>
              <w:jc w:val="center"/>
              <w:rPr>
                <w:sz w:val="24"/>
              </w:rPr>
            </w:pPr>
            <w:r>
              <w:rPr>
                <w:rFonts w:hint="eastAsia"/>
                <w:sz w:val="24"/>
              </w:rPr>
              <w:t>京能吐鲁番市托克逊县产业园区低碳转型光伏项目220千伏输变电工程</w:t>
            </w:r>
          </w:p>
        </w:tc>
      </w:tr>
      <w:tr w14:paraId="12AE9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302" w:hRule="atLeast"/>
          <w:jc w:val="center"/>
        </w:trPr>
        <w:tc>
          <w:tcPr>
            <w:tcW w:w="2135" w:type="dxa"/>
            <w:gridSpan w:val="2"/>
            <w:tcMar>
              <w:top w:w="16" w:type="dxa"/>
              <w:left w:w="16" w:type="dxa"/>
              <w:right w:w="16" w:type="dxa"/>
            </w:tcMar>
            <w:vAlign w:val="center"/>
          </w:tcPr>
          <w:p w14:paraId="0C847B17">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建设项目</w:t>
            </w:r>
          </w:p>
          <w:p w14:paraId="3E656643">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行业类别</w:t>
            </w:r>
          </w:p>
        </w:tc>
        <w:tc>
          <w:tcPr>
            <w:tcW w:w="2252" w:type="dxa"/>
            <w:vAlign w:val="center"/>
          </w:tcPr>
          <w:p w14:paraId="45A136E5">
            <w:pPr>
              <w:pStyle w:val="30"/>
              <w:keepNext w:val="0"/>
              <w:keepLines w:val="0"/>
              <w:suppressLineNumbers w:val="0"/>
              <w:spacing w:before="209" w:beforeAutospacing="0" w:after="0" w:afterAutospacing="0" w:line="219" w:lineRule="auto"/>
              <w:ind w:left="0" w:right="0"/>
              <w:rPr>
                <w:color w:val="000000" w:themeColor="text1"/>
                <w:spacing w:val="-2"/>
              </w:rPr>
            </w:pPr>
            <w:r>
              <w:rPr>
                <w:color w:val="000000" w:themeColor="text1"/>
                <w:spacing w:val="-2"/>
              </w:rPr>
              <w:t>五十五、核与辐射</w:t>
            </w:r>
          </w:p>
          <w:p w14:paraId="6B9AF21B">
            <w:pPr>
              <w:pStyle w:val="30"/>
              <w:keepNext w:val="0"/>
              <w:keepLines w:val="0"/>
              <w:suppressLineNumbers w:val="0"/>
              <w:spacing w:before="209" w:beforeAutospacing="0" w:after="0" w:afterAutospacing="0" w:line="219" w:lineRule="auto"/>
              <w:ind w:left="0" w:right="0"/>
              <w:rPr>
                <w:rFonts w:ascii="Times New Roman" w:hAnsi="Times New Roman" w:cs="Times New Roman"/>
                <w:color w:val="000000" w:themeColor="text1"/>
                <w:lang w:eastAsia="zh-CN"/>
              </w:rPr>
            </w:pPr>
            <w:r>
              <w:rPr>
                <w:rFonts w:ascii="Times New Roman" w:hAnsi="Times New Roman" w:cs="Times New Roman"/>
                <w:color w:val="000000" w:themeColor="text1"/>
                <w:spacing w:val="-5"/>
              </w:rPr>
              <w:t>161</w:t>
            </w:r>
            <w:r>
              <w:rPr>
                <w:color w:val="000000" w:themeColor="text1"/>
                <w:spacing w:val="-49"/>
              </w:rPr>
              <w:t xml:space="preserve"> </w:t>
            </w:r>
            <w:r>
              <w:rPr>
                <w:color w:val="000000" w:themeColor="text1"/>
                <w:spacing w:val="-5"/>
              </w:rPr>
              <w:t>输变电工程</w:t>
            </w:r>
          </w:p>
        </w:tc>
        <w:tc>
          <w:tcPr>
            <w:tcW w:w="1734" w:type="dxa"/>
            <w:vAlign w:val="center"/>
          </w:tcPr>
          <w:p w14:paraId="6A9ED179">
            <w:pPr>
              <w:pStyle w:val="30"/>
              <w:keepNext w:val="0"/>
              <w:keepLines w:val="0"/>
              <w:suppressLineNumbers w:val="0"/>
              <w:spacing w:before="156" w:beforeAutospacing="0" w:after="0" w:afterAutospacing="0" w:line="220" w:lineRule="auto"/>
              <w:ind w:left="92" w:right="0"/>
              <w:rPr>
                <w:rFonts w:ascii="Times New Roman" w:hAnsi="Times New Roman" w:cs="Times New Roman"/>
                <w:color w:val="000000" w:themeColor="text1"/>
                <w:lang w:eastAsia="zh-CN"/>
              </w:rPr>
            </w:pPr>
            <w:r>
              <w:rPr>
                <w:color w:val="000000" w:themeColor="text1"/>
                <w:spacing w:val="-2"/>
              </w:rPr>
              <w:t>用地(用海)面积</w:t>
            </w:r>
            <w:r>
              <w:rPr>
                <w:color w:val="000000" w:themeColor="text1"/>
                <w:spacing w:val="-7"/>
              </w:rPr>
              <w:t>(平方米)/长度</w:t>
            </w:r>
            <w:r>
              <w:rPr>
                <w:rFonts w:hint="eastAsia"/>
                <w:color w:val="000000" w:themeColor="text1"/>
                <w:spacing w:val="-7"/>
                <w:lang w:eastAsia="zh-CN"/>
              </w:rPr>
              <w:t>（千米）</w:t>
            </w:r>
          </w:p>
        </w:tc>
        <w:tc>
          <w:tcPr>
            <w:tcW w:w="3046" w:type="dxa"/>
            <w:vAlign w:val="center"/>
          </w:tcPr>
          <w:p w14:paraId="27FF0009">
            <w:pPr>
              <w:pStyle w:val="30"/>
              <w:keepNext w:val="0"/>
              <w:keepLines w:val="0"/>
              <w:suppressLineNumbers w:val="0"/>
              <w:spacing w:before="209" w:beforeAutospacing="0" w:after="0" w:afterAutospacing="0" w:line="219" w:lineRule="auto"/>
              <w:ind w:left="0" w:right="0"/>
              <w:rPr>
                <w:rFonts w:ascii="Times New Roman" w:hAnsi="Times New Roman" w:cs="Times New Roman"/>
                <w:color w:val="000000" w:themeColor="text1"/>
                <w:spacing w:val="-2"/>
                <w:lang w:eastAsia="zh-CN"/>
              </w:rPr>
            </w:pPr>
            <w:r>
              <w:rPr>
                <w:rFonts w:ascii="Times New Roman" w:hAnsi="Times New Roman" w:cs="Times New Roman"/>
                <w:color w:val="000000" w:themeColor="text1"/>
                <w:spacing w:val="-2"/>
                <w:lang w:eastAsia="zh-CN"/>
              </w:rPr>
              <w:t>永久用地面积：</w:t>
            </w:r>
            <w:r>
              <w:rPr>
                <w:rFonts w:hint="eastAsia" w:ascii="Times New Roman" w:hAnsi="Times New Roman" w:cs="Times New Roman"/>
                <w:color w:val="000000" w:themeColor="text1"/>
                <w:spacing w:val="-2"/>
                <w:lang w:eastAsia="zh-CN"/>
              </w:rPr>
              <w:t>28444m</w:t>
            </w:r>
            <w:r>
              <w:rPr>
                <w:rFonts w:hint="eastAsia" w:ascii="Times New Roman" w:hAnsi="Times New Roman" w:cs="Times New Roman"/>
                <w:color w:val="000000" w:themeColor="text1"/>
                <w:spacing w:val="-2"/>
                <w:vertAlign w:val="superscript"/>
                <w:lang w:eastAsia="zh-CN"/>
              </w:rPr>
              <w:t>2</w:t>
            </w:r>
          </w:p>
          <w:p w14:paraId="18F90608">
            <w:pPr>
              <w:pStyle w:val="30"/>
              <w:keepNext w:val="0"/>
              <w:keepLines w:val="0"/>
              <w:suppressLineNumbers w:val="0"/>
              <w:spacing w:before="209" w:beforeAutospacing="0" w:after="0" w:afterAutospacing="0" w:line="219" w:lineRule="auto"/>
              <w:ind w:left="0" w:right="0"/>
              <w:rPr>
                <w:rFonts w:ascii="Times New Roman" w:hAnsi="Times New Roman" w:cs="Times New Roman"/>
                <w:color w:val="000000" w:themeColor="text1"/>
                <w:spacing w:val="-2"/>
                <w:vertAlign w:val="superscript"/>
                <w:lang w:eastAsia="zh-CN"/>
              </w:rPr>
            </w:pPr>
            <w:r>
              <w:rPr>
                <w:rFonts w:ascii="Times New Roman" w:hAnsi="Times New Roman" w:cs="Times New Roman"/>
                <w:color w:val="000000" w:themeColor="text1"/>
                <w:spacing w:val="-2"/>
                <w:lang w:eastAsia="zh-CN"/>
              </w:rPr>
              <w:t>临时用地面积：91800</w:t>
            </w:r>
            <w:r>
              <w:rPr>
                <w:rFonts w:hint="eastAsia" w:ascii="Times New Roman" w:hAnsi="Times New Roman" w:cs="Times New Roman"/>
                <w:color w:val="000000" w:themeColor="text1"/>
                <w:spacing w:val="-2"/>
                <w:lang w:eastAsia="zh-CN"/>
              </w:rPr>
              <w:t xml:space="preserve"> m</w:t>
            </w:r>
            <w:r>
              <w:rPr>
                <w:rFonts w:hint="eastAsia" w:ascii="Times New Roman" w:hAnsi="Times New Roman" w:cs="Times New Roman"/>
                <w:color w:val="000000" w:themeColor="text1"/>
                <w:spacing w:val="-2"/>
                <w:vertAlign w:val="superscript"/>
                <w:lang w:eastAsia="zh-CN"/>
              </w:rPr>
              <w:t>2</w:t>
            </w:r>
          </w:p>
          <w:p w14:paraId="0DF298E2">
            <w:pPr>
              <w:pStyle w:val="30"/>
              <w:keepNext w:val="0"/>
              <w:keepLines w:val="0"/>
              <w:suppressLineNumbers w:val="0"/>
              <w:spacing w:before="209" w:beforeAutospacing="0" w:after="0" w:afterAutospacing="0" w:line="219" w:lineRule="auto"/>
              <w:ind w:left="0" w:right="0"/>
              <w:rPr>
                <w:color w:val="000000" w:themeColor="text1"/>
                <w:spacing w:val="6"/>
                <w:sz w:val="20"/>
                <w:szCs w:val="20"/>
                <w:lang w:eastAsia="zh-CN"/>
              </w:rPr>
            </w:pPr>
            <w:r>
              <w:rPr>
                <w:rFonts w:hint="eastAsia" w:ascii="Times New Roman" w:hAnsi="Times New Roman" w:cs="Times New Roman"/>
                <w:color w:val="000000" w:themeColor="text1"/>
                <w:spacing w:val="-2"/>
                <w:lang w:eastAsia="zh-CN"/>
              </w:rPr>
              <w:t>线路长度：7.84km</w:t>
            </w:r>
          </w:p>
        </w:tc>
      </w:tr>
      <w:tr w14:paraId="4A7AC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2135" w:type="dxa"/>
            <w:gridSpan w:val="2"/>
            <w:tcMar>
              <w:top w:w="16" w:type="dxa"/>
              <w:left w:w="16" w:type="dxa"/>
              <w:right w:w="16" w:type="dxa"/>
            </w:tcMar>
            <w:vAlign w:val="center"/>
          </w:tcPr>
          <w:p w14:paraId="441C50F4">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建设性质</w:t>
            </w:r>
          </w:p>
        </w:tc>
        <w:tc>
          <w:tcPr>
            <w:tcW w:w="2252" w:type="dxa"/>
            <w:vAlign w:val="center"/>
          </w:tcPr>
          <w:p w14:paraId="130215BF">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52"/>
            </w:r>
            <w:r>
              <w:rPr>
                <w:color w:val="000000" w:themeColor="text1"/>
                <w:sz w:val="24"/>
              </w:rPr>
              <w:t>新建（迁建）</w:t>
            </w:r>
          </w:p>
          <w:p w14:paraId="7962AF76">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改建</w:t>
            </w:r>
          </w:p>
          <w:p w14:paraId="421573E9">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扩建</w:t>
            </w:r>
          </w:p>
          <w:p w14:paraId="3A04B1F9">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技术改造</w:t>
            </w:r>
          </w:p>
        </w:tc>
        <w:tc>
          <w:tcPr>
            <w:tcW w:w="1734" w:type="dxa"/>
            <w:vAlign w:val="center"/>
          </w:tcPr>
          <w:p w14:paraId="39BA83AC">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color w:val="000000" w:themeColor="text1"/>
                <w:sz w:val="24"/>
              </w:rPr>
              <w:t>建设项目</w:t>
            </w:r>
          </w:p>
          <w:p w14:paraId="192440A2">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color w:val="000000" w:themeColor="text1"/>
                <w:sz w:val="24"/>
              </w:rPr>
              <w:t>申报情形</w:t>
            </w:r>
          </w:p>
        </w:tc>
        <w:tc>
          <w:tcPr>
            <w:tcW w:w="3046" w:type="dxa"/>
            <w:vAlign w:val="center"/>
          </w:tcPr>
          <w:p w14:paraId="0DC416AF">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52"/>
            </w:r>
            <w:r>
              <w:rPr>
                <w:color w:val="000000" w:themeColor="text1"/>
                <w:sz w:val="24"/>
              </w:rPr>
              <w:t xml:space="preserve">首次申报项目             </w:t>
            </w:r>
          </w:p>
          <w:p w14:paraId="14129071">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不予批准后再次申报项目</w:t>
            </w:r>
          </w:p>
          <w:p w14:paraId="46C09DB4">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 xml:space="preserve">超五年重新审核项目     </w:t>
            </w:r>
          </w:p>
          <w:p w14:paraId="3057E44E">
            <w:pPr>
              <w:keepNext w:val="0"/>
              <w:keepLines w:val="0"/>
              <w:suppressLineNumbers w:val="0"/>
              <w:spacing w:before="0" w:beforeAutospacing="0" w:after="0" w:afterAutospacing="0" w:line="400" w:lineRule="exact"/>
              <w:ind w:left="0" w:right="0"/>
              <w:jc w:val="left"/>
              <w:rPr>
                <w:color w:val="000000" w:themeColor="text1"/>
                <w:sz w:val="24"/>
              </w:rPr>
            </w:pPr>
            <w:r>
              <w:rPr>
                <w:color w:val="000000" w:themeColor="text1"/>
                <w:sz w:val="24"/>
              </w:rPr>
              <w:sym w:font="Wingdings 2" w:char="00A3"/>
            </w:r>
            <w:r>
              <w:rPr>
                <w:color w:val="000000" w:themeColor="text1"/>
                <w:sz w:val="24"/>
              </w:rPr>
              <w:t>重大变动重新报批项目</w:t>
            </w:r>
          </w:p>
        </w:tc>
      </w:tr>
      <w:tr w14:paraId="2812A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2135" w:type="dxa"/>
            <w:gridSpan w:val="2"/>
            <w:tcMar>
              <w:top w:w="16" w:type="dxa"/>
              <w:left w:w="16" w:type="dxa"/>
              <w:right w:w="16" w:type="dxa"/>
            </w:tcMar>
            <w:vAlign w:val="center"/>
          </w:tcPr>
          <w:p w14:paraId="25F7E872">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项目审批（</w:t>
            </w:r>
            <w:r>
              <w:rPr>
                <w:rFonts w:ascii="Arial" w:hAnsi="Arial" w:cs="Arial"/>
                <w:sz w:val="24"/>
              </w:rPr>
              <w:t>√</w:t>
            </w:r>
            <w:r>
              <w:rPr>
                <w:sz w:val="24"/>
              </w:rPr>
              <w:t>核准/备案）部门（选填）</w:t>
            </w:r>
          </w:p>
        </w:tc>
        <w:tc>
          <w:tcPr>
            <w:tcW w:w="2252" w:type="dxa"/>
            <w:vAlign w:val="center"/>
          </w:tcPr>
          <w:p w14:paraId="5270F973">
            <w:pPr>
              <w:keepNext w:val="0"/>
              <w:keepLines w:val="0"/>
              <w:suppressLineNumbers w:val="0"/>
              <w:adjustRightInd w:val="0"/>
              <w:snapToGrid w:val="0"/>
              <w:spacing w:before="0" w:beforeAutospacing="0" w:after="0" w:afterAutospacing="0" w:line="400" w:lineRule="exact"/>
              <w:ind w:left="0" w:right="0"/>
              <w:jc w:val="center"/>
              <w:rPr>
                <w:rFonts w:hint="eastAsia" w:eastAsia="宋体"/>
                <w:color w:val="000000" w:themeColor="text1"/>
                <w:sz w:val="24"/>
                <w:lang w:eastAsia="zh-CN"/>
              </w:rPr>
            </w:pPr>
            <w:r>
              <w:rPr>
                <w:rFonts w:hint="eastAsia"/>
                <w:color w:val="000000" w:themeColor="text1"/>
                <w:sz w:val="24"/>
              </w:rPr>
              <w:t>吐鲁番市发展和改革委员</w:t>
            </w:r>
            <w:r>
              <w:rPr>
                <w:rFonts w:hint="eastAsia"/>
                <w:color w:val="000000" w:themeColor="text1"/>
                <w:sz w:val="24"/>
                <w:lang w:eastAsia="zh-CN"/>
              </w:rPr>
              <w:t>会</w:t>
            </w:r>
          </w:p>
        </w:tc>
        <w:tc>
          <w:tcPr>
            <w:tcW w:w="1734" w:type="dxa"/>
            <w:vAlign w:val="center"/>
          </w:tcPr>
          <w:p w14:paraId="498A4494">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color w:val="000000" w:themeColor="text1"/>
                <w:sz w:val="24"/>
              </w:rPr>
              <w:t>项目审批（核准/备案）文号（选填）</w:t>
            </w:r>
          </w:p>
        </w:tc>
        <w:tc>
          <w:tcPr>
            <w:tcW w:w="3046" w:type="dxa"/>
            <w:tcMar>
              <w:top w:w="57" w:type="dxa"/>
              <w:left w:w="57" w:type="dxa"/>
              <w:bottom w:w="57" w:type="dxa"/>
              <w:right w:w="57" w:type="dxa"/>
            </w:tcMar>
            <w:vAlign w:val="center"/>
          </w:tcPr>
          <w:p w14:paraId="798AB223">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rFonts w:hint="eastAsia"/>
                <w:color w:val="000000" w:themeColor="text1"/>
                <w:sz w:val="24"/>
              </w:rPr>
              <w:t>吐市发改能交〔2025〕72号</w:t>
            </w:r>
          </w:p>
        </w:tc>
      </w:tr>
      <w:tr w14:paraId="62419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587" w:hRule="atLeast"/>
          <w:jc w:val="center"/>
        </w:trPr>
        <w:tc>
          <w:tcPr>
            <w:tcW w:w="2135" w:type="dxa"/>
            <w:gridSpan w:val="2"/>
            <w:tcMar>
              <w:top w:w="16" w:type="dxa"/>
              <w:left w:w="16" w:type="dxa"/>
              <w:right w:w="16" w:type="dxa"/>
            </w:tcMar>
            <w:vAlign w:val="center"/>
          </w:tcPr>
          <w:p w14:paraId="1C9AD271">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总投资（万元）</w:t>
            </w:r>
          </w:p>
        </w:tc>
        <w:tc>
          <w:tcPr>
            <w:tcW w:w="2252" w:type="dxa"/>
            <w:vAlign w:val="center"/>
          </w:tcPr>
          <w:p w14:paraId="4F62BF39">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rFonts w:hint="eastAsia" w:hAnsi="宋体"/>
                <w:color w:val="000000" w:themeColor="text1"/>
                <w:sz w:val="24"/>
                <w:szCs w:val="24"/>
              </w:rPr>
              <w:t>11200</w:t>
            </w:r>
          </w:p>
        </w:tc>
        <w:tc>
          <w:tcPr>
            <w:tcW w:w="1734" w:type="dxa"/>
            <w:tcMar>
              <w:top w:w="16" w:type="dxa"/>
              <w:left w:w="16" w:type="dxa"/>
              <w:right w:w="16" w:type="dxa"/>
            </w:tcMar>
            <w:vAlign w:val="center"/>
          </w:tcPr>
          <w:p w14:paraId="2930CC0E">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color w:val="000000" w:themeColor="text1"/>
                <w:sz w:val="24"/>
              </w:rPr>
              <w:t>环保投资（万元）</w:t>
            </w:r>
          </w:p>
        </w:tc>
        <w:tc>
          <w:tcPr>
            <w:tcW w:w="3046" w:type="dxa"/>
            <w:vAlign w:val="center"/>
          </w:tcPr>
          <w:p w14:paraId="7CB84318">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rFonts w:hint="eastAsia"/>
                <w:color w:val="000000" w:themeColor="text1"/>
                <w:sz w:val="24"/>
              </w:rPr>
              <w:t>364</w:t>
            </w:r>
          </w:p>
        </w:tc>
      </w:tr>
      <w:tr w14:paraId="2436C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2135" w:type="dxa"/>
            <w:gridSpan w:val="2"/>
            <w:tcMar>
              <w:top w:w="16" w:type="dxa"/>
              <w:left w:w="16" w:type="dxa"/>
              <w:right w:w="16" w:type="dxa"/>
            </w:tcMar>
            <w:vAlign w:val="center"/>
          </w:tcPr>
          <w:p w14:paraId="4B9A1AF5">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环保投资占比（%）</w:t>
            </w:r>
          </w:p>
        </w:tc>
        <w:tc>
          <w:tcPr>
            <w:tcW w:w="2252" w:type="dxa"/>
            <w:vAlign w:val="center"/>
          </w:tcPr>
          <w:p w14:paraId="20430967">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rFonts w:hint="eastAsia"/>
                <w:color w:val="000000" w:themeColor="text1"/>
                <w:sz w:val="24"/>
              </w:rPr>
              <w:t>3.25</w:t>
            </w:r>
          </w:p>
        </w:tc>
        <w:tc>
          <w:tcPr>
            <w:tcW w:w="1734" w:type="dxa"/>
            <w:tcMar>
              <w:top w:w="16" w:type="dxa"/>
              <w:left w:w="16" w:type="dxa"/>
              <w:right w:w="16" w:type="dxa"/>
            </w:tcMar>
            <w:vAlign w:val="center"/>
          </w:tcPr>
          <w:p w14:paraId="5A33F2B9">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color w:val="000000" w:themeColor="text1"/>
                <w:sz w:val="24"/>
              </w:rPr>
              <w:t>施工工期</w:t>
            </w:r>
          </w:p>
        </w:tc>
        <w:tc>
          <w:tcPr>
            <w:tcW w:w="3046" w:type="dxa"/>
            <w:vAlign w:val="center"/>
          </w:tcPr>
          <w:p w14:paraId="01D4752D">
            <w:pPr>
              <w:keepNext w:val="0"/>
              <w:keepLines w:val="0"/>
              <w:suppressLineNumbers w:val="0"/>
              <w:adjustRightInd w:val="0"/>
              <w:snapToGrid w:val="0"/>
              <w:spacing w:before="0" w:beforeAutospacing="0" w:after="0" w:afterAutospacing="0" w:line="400" w:lineRule="exact"/>
              <w:ind w:left="0" w:right="0"/>
              <w:jc w:val="center"/>
              <w:rPr>
                <w:color w:val="000000" w:themeColor="text1"/>
                <w:sz w:val="24"/>
              </w:rPr>
            </w:pPr>
            <w:r>
              <w:rPr>
                <w:rFonts w:hint="eastAsia"/>
                <w:color w:val="000000" w:themeColor="text1"/>
                <w:sz w:val="24"/>
              </w:rPr>
              <w:t>6</w:t>
            </w:r>
            <w:r>
              <w:rPr>
                <w:color w:val="000000" w:themeColor="text1"/>
                <w:sz w:val="24"/>
              </w:rPr>
              <w:t>个月</w:t>
            </w:r>
          </w:p>
        </w:tc>
      </w:tr>
      <w:tr w14:paraId="6988C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04" w:hRule="atLeast"/>
          <w:jc w:val="center"/>
        </w:trPr>
        <w:tc>
          <w:tcPr>
            <w:tcW w:w="2135" w:type="dxa"/>
            <w:gridSpan w:val="2"/>
            <w:shd w:val="clear" w:color="auto" w:fill="auto"/>
          </w:tcPr>
          <w:p w14:paraId="2B520AF6">
            <w:pPr>
              <w:keepNext w:val="0"/>
              <w:keepLines w:val="0"/>
              <w:suppressLineNumbers w:val="0"/>
              <w:spacing w:before="0" w:beforeAutospacing="0" w:after="0" w:afterAutospacing="0" w:line="283" w:lineRule="auto"/>
              <w:ind w:left="0" w:right="0"/>
              <w:rPr>
                <w:rFonts w:ascii="Arial"/>
              </w:rPr>
            </w:pPr>
          </w:p>
          <w:p w14:paraId="14AE049F">
            <w:pPr>
              <w:pStyle w:val="30"/>
              <w:keepNext w:val="0"/>
              <w:keepLines w:val="0"/>
              <w:suppressLineNumbers w:val="0"/>
              <w:spacing w:before="78" w:beforeAutospacing="0" w:after="0" w:afterAutospacing="0" w:line="220" w:lineRule="auto"/>
              <w:ind w:left="60" w:right="0"/>
            </w:pPr>
            <w:r>
              <w:rPr>
                <w:spacing w:val="-3"/>
              </w:rPr>
              <w:t>是否开工建设</w:t>
            </w:r>
          </w:p>
        </w:tc>
        <w:tc>
          <w:tcPr>
            <w:tcW w:w="7032" w:type="dxa"/>
            <w:gridSpan w:val="3"/>
            <w:shd w:val="clear" w:color="auto" w:fill="auto"/>
          </w:tcPr>
          <w:p w14:paraId="794BB956">
            <w:pPr>
              <w:pStyle w:val="30"/>
              <w:keepNext w:val="0"/>
              <w:keepLines w:val="0"/>
              <w:suppressLineNumbers w:val="0"/>
              <w:spacing w:before="62" w:beforeAutospacing="0" w:after="0" w:afterAutospacing="0" w:line="222" w:lineRule="auto"/>
              <w:ind w:left="137" w:right="0"/>
            </w:pPr>
            <w:r>
              <w:rPr>
                <w:position w:val="-5"/>
                <w:lang w:eastAsia="zh-CN"/>
              </w:rPr>
              <w:drawing>
                <wp:inline distT="0" distB="0" distL="0" distR="0">
                  <wp:extent cx="130810" cy="170180"/>
                  <wp:effectExtent l="0" t="0" r="2540" b="1270"/>
                  <wp:docPr id="1" name="IM 20"/>
                  <wp:cNvGraphicFramePr/>
                  <a:graphic xmlns:a="http://schemas.openxmlformats.org/drawingml/2006/main">
                    <a:graphicData uri="http://schemas.openxmlformats.org/drawingml/2006/picture">
                      <pic:pic xmlns:pic="http://schemas.openxmlformats.org/drawingml/2006/picture">
                        <pic:nvPicPr>
                          <pic:cNvPr id="1" name="IM 20"/>
                          <pic:cNvPicPr/>
                        </pic:nvPicPr>
                        <pic:blipFill>
                          <a:blip r:embed="rId10" cstate="print"/>
                          <a:stretch>
                            <a:fillRect/>
                          </a:stretch>
                        </pic:blipFill>
                        <pic:spPr>
                          <a:xfrm>
                            <a:off x="0" y="0"/>
                            <a:ext cx="130911" cy="170535"/>
                          </a:xfrm>
                          <a:prstGeom prst="rect">
                            <a:avLst/>
                          </a:prstGeom>
                        </pic:spPr>
                      </pic:pic>
                    </a:graphicData>
                  </a:graphic>
                </wp:inline>
              </w:drawing>
            </w:r>
            <w:r>
              <w:t>否</w:t>
            </w:r>
          </w:p>
          <w:p w14:paraId="3FD0EBD7">
            <w:pPr>
              <w:pStyle w:val="30"/>
              <w:keepNext w:val="0"/>
              <w:keepLines w:val="0"/>
              <w:suppressLineNumbers w:val="0"/>
              <w:spacing w:before="261" w:beforeAutospacing="0" w:after="0" w:afterAutospacing="0" w:line="223" w:lineRule="auto"/>
              <w:ind w:left="122" w:right="0"/>
              <w:rPr>
                <w:lang w:eastAsia="zh-CN"/>
              </w:rPr>
            </w:pPr>
            <w:r>
              <w:rPr>
                <w:rFonts w:hint="eastAsia"/>
                <w:spacing w:val="-12"/>
                <w:lang w:eastAsia="zh-CN"/>
              </w:rPr>
              <w:t>□</w:t>
            </w:r>
            <w:r>
              <w:rPr>
                <w:spacing w:val="-12"/>
              </w:rPr>
              <w:t>是：</w:t>
            </w:r>
            <w:r>
              <w:rPr>
                <w:u w:val="single"/>
              </w:rPr>
              <w:t xml:space="preserve">                             </w:t>
            </w:r>
          </w:p>
        </w:tc>
      </w:tr>
      <w:tr w14:paraId="4CFDC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2135" w:type="dxa"/>
            <w:gridSpan w:val="2"/>
            <w:vAlign w:val="center"/>
          </w:tcPr>
          <w:p w14:paraId="44503B09">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专项评价</w:t>
            </w:r>
          </w:p>
          <w:p w14:paraId="67CF2476">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设置情况</w:t>
            </w:r>
          </w:p>
        </w:tc>
        <w:tc>
          <w:tcPr>
            <w:tcW w:w="7032" w:type="dxa"/>
            <w:gridSpan w:val="3"/>
            <w:vAlign w:val="center"/>
          </w:tcPr>
          <w:p w14:paraId="2D1BC5CF">
            <w:pPr>
              <w:keepNext w:val="0"/>
              <w:keepLines w:val="0"/>
              <w:widowControl/>
              <w:suppressLineNumbers w:val="0"/>
              <w:spacing w:before="0" w:beforeAutospacing="0" w:after="0" w:afterAutospacing="0"/>
              <w:ind w:left="0" w:right="0" w:firstLine="480" w:firstLineChars="200"/>
              <w:jc w:val="left"/>
              <w:rPr>
                <w:sz w:val="24"/>
              </w:rPr>
            </w:pPr>
            <w:r>
              <w:rPr>
                <w:color w:val="000000"/>
                <w:kern w:val="0"/>
                <w:sz w:val="24"/>
              </w:rPr>
              <w:t>根据《环境影响评价技术导则 输变电》(HJ24-2020)附录B要求：输变电建设项目环境影响报告表应设电磁环境影响专题评价，本项目属于编制环境影响报告表的输变电建设项目，因此设置电磁环境影响专题评价。</w:t>
            </w:r>
          </w:p>
        </w:tc>
      </w:tr>
      <w:tr w14:paraId="0BA2D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2135" w:type="dxa"/>
            <w:gridSpan w:val="2"/>
            <w:vAlign w:val="center"/>
          </w:tcPr>
          <w:p w14:paraId="7F3EEE68">
            <w:pPr>
              <w:keepNext w:val="0"/>
              <w:keepLines w:val="0"/>
              <w:suppressLineNumbers w:val="0"/>
              <w:adjustRightInd w:val="0"/>
              <w:snapToGrid w:val="0"/>
              <w:spacing w:before="0" w:beforeAutospacing="0" w:after="0" w:afterAutospacing="0" w:line="400" w:lineRule="exact"/>
              <w:ind w:left="0" w:right="0"/>
              <w:jc w:val="center"/>
              <w:rPr>
                <w:sz w:val="24"/>
              </w:rPr>
            </w:pPr>
            <w:r>
              <w:rPr>
                <w:sz w:val="24"/>
              </w:rPr>
              <w:t>规划情况</w:t>
            </w:r>
          </w:p>
        </w:tc>
        <w:tc>
          <w:tcPr>
            <w:tcW w:w="7032" w:type="dxa"/>
            <w:gridSpan w:val="3"/>
            <w:vAlign w:val="center"/>
          </w:tcPr>
          <w:p w14:paraId="2E6D039F">
            <w:pPr>
              <w:keepNext w:val="0"/>
              <w:keepLines w:val="0"/>
              <w:suppressLineNumbers w:val="0"/>
              <w:adjustRightInd w:val="0"/>
              <w:snapToGrid w:val="0"/>
              <w:spacing w:before="0" w:beforeAutospacing="0" w:after="0" w:afterAutospacing="0" w:line="400" w:lineRule="exact"/>
              <w:ind w:left="0" w:right="0"/>
              <w:jc w:val="left"/>
              <w:rPr>
                <w:sz w:val="24"/>
              </w:rPr>
            </w:pPr>
            <w:r>
              <w:rPr>
                <w:sz w:val="24"/>
              </w:rPr>
              <w:t>无</w:t>
            </w:r>
          </w:p>
        </w:tc>
      </w:tr>
      <w:tr w14:paraId="413F9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34" w:hRule="atLeast"/>
          <w:jc w:val="center"/>
        </w:trPr>
        <w:tc>
          <w:tcPr>
            <w:tcW w:w="2135" w:type="dxa"/>
            <w:gridSpan w:val="2"/>
            <w:vAlign w:val="center"/>
          </w:tcPr>
          <w:p w14:paraId="3BD18EB8">
            <w:pPr>
              <w:keepNext w:val="0"/>
              <w:keepLines w:val="0"/>
              <w:suppressLineNumbers w:val="0"/>
              <w:autoSpaceDE w:val="0"/>
              <w:autoSpaceDN w:val="0"/>
              <w:adjustRightInd w:val="0"/>
              <w:snapToGrid w:val="0"/>
              <w:spacing w:before="0" w:beforeAutospacing="0" w:after="0" w:afterAutospacing="0" w:line="400" w:lineRule="exact"/>
              <w:ind w:left="0" w:right="0"/>
              <w:jc w:val="center"/>
              <w:rPr>
                <w:kern w:val="0"/>
                <w:sz w:val="24"/>
              </w:rPr>
            </w:pPr>
            <w:r>
              <w:rPr>
                <w:sz w:val="24"/>
              </w:rPr>
              <w:t>规划环境影响评价情况</w:t>
            </w:r>
          </w:p>
        </w:tc>
        <w:tc>
          <w:tcPr>
            <w:tcW w:w="7032" w:type="dxa"/>
            <w:gridSpan w:val="3"/>
            <w:vAlign w:val="center"/>
          </w:tcPr>
          <w:p w14:paraId="64AE0A99">
            <w:pPr>
              <w:keepNext w:val="0"/>
              <w:keepLines w:val="0"/>
              <w:suppressLineNumbers w:val="0"/>
              <w:autoSpaceDE w:val="0"/>
              <w:autoSpaceDN w:val="0"/>
              <w:adjustRightInd w:val="0"/>
              <w:snapToGrid w:val="0"/>
              <w:spacing w:before="0" w:beforeAutospacing="0" w:after="0" w:afterAutospacing="0" w:line="400" w:lineRule="exact"/>
              <w:ind w:left="0" w:right="0"/>
              <w:jc w:val="left"/>
              <w:rPr>
                <w:kern w:val="0"/>
                <w:sz w:val="24"/>
              </w:rPr>
            </w:pPr>
            <w:r>
              <w:rPr>
                <w:kern w:val="0"/>
                <w:sz w:val="24"/>
              </w:rPr>
              <w:t>无</w:t>
            </w:r>
          </w:p>
        </w:tc>
      </w:tr>
      <w:tr w14:paraId="5BFE5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049" w:hRule="atLeast"/>
          <w:jc w:val="center"/>
        </w:trPr>
        <w:tc>
          <w:tcPr>
            <w:tcW w:w="2135" w:type="dxa"/>
            <w:gridSpan w:val="2"/>
            <w:vAlign w:val="center"/>
          </w:tcPr>
          <w:p w14:paraId="6BE0BDF3">
            <w:pPr>
              <w:keepNext w:val="0"/>
              <w:keepLines w:val="0"/>
              <w:suppressLineNumbers w:val="0"/>
              <w:autoSpaceDE w:val="0"/>
              <w:autoSpaceDN w:val="0"/>
              <w:adjustRightInd w:val="0"/>
              <w:snapToGrid w:val="0"/>
              <w:spacing w:before="0" w:beforeAutospacing="0" w:after="0" w:afterAutospacing="0" w:line="400" w:lineRule="exact"/>
              <w:ind w:left="0" w:right="0"/>
              <w:jc w:val="center"/>
              <w:rPr>
                <w:kern w:val="0"/>
                <w:sz w:val="24"/>
              </w:rPr>
            </w:pPr>
            <w:r>
              <w:rPr>
                <w:kern w:val="0"/>
                <w:sz w:val="24"/>
              </w:rPr>
              <w:t>规划及规划环境影响评价符合性分析</w:t>
            </w:r>
          </w:p>
        </w:tc>
        <w:tc>
          <w:tcPr>
            <w:tcW w:w="7032" w:type="dxa"/>
            <w:gridSpan w:val="3"/>
            <w:vAlign w:val="center"/>
          </w:tcPr>
          <w:p w14:paraId="55D53F12">
            <w:pPr>
              <w:keepNext w:val="0"/>
              <w:keepLines w:val="0"/>
              <w:suppressLineNumbers w:val="0"/>
              <w:autoSpaceDE w:val="0"/>
              <w:autoSpaceDN w:val="0"/>
              <w:adjustRightInd w:val="0"/>
              <w:snapToGrid w:val="0"/>
              <w:spacing w:before="0" w:beforeAutospacing="0" w:after="0" w:afterAutospacing="0" w:line="400" w:lineRule="exact"/>
              <w:ind w:left="0" w:right="0"/>
              <w:jc w:val="left"/>
              <w:rPr>
                <w:kern w:val="0"/>
                <w:sz w:val="24"/>
              </w:rPr>
            </w:pPr>
            <w:r>
              <w:rPr>
                <w:kern w:val="0"/>
                <w:sz w:val="24"/>
              </w:rPr>
              <w:t>无</w:t>
            </w:r>
          </w:p>
        </w:tc>
      </w:tr>
      <w:tr w14:paraId="4F587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305" w:hRule="atLeast"/>
          <w:jc w:val="center"/>
        </w:trPr>
        <w:tc>
          <w:tcPr>
            <w:tcW w:w="895" w:type="dxa"/>
            <w:vAlign w:val="center"/>
          </w:tcPr>
          <w:p w14:paraId="37702698">
            <w:pPr>
              <w:keepNext w:val="0"/>
              <w:keepLines w:val="0"/>
              <w:suppressLineNumbers w:val="0"/>
              <w:autoSpaceDE w:val="0"/>
              <w:autoSpaceDN w:val="0"/>
              <w:adjustRightInd w:val="0"/>
              <w:snapToGrid w:val="0"/>
              <w:spacing w:before="0" w:beforeAutospacing="0" w:after="0" w:afterAutospacing="0" w:line="400" w:lineRule="exact"/>
              <w:ind w:left="0" w:right="0"/>
              <w:jc w:val="center"/>
              <w:rPr>
                <w:kern w:val="0"/>
                <w:sz w:val="24"/>
              </w:rPr>
            </w:pPr>
            <w:r>
              <w:rPr>
                <w:rFonts w:hint="eastAsia"/>
                <w:kern w:val="0"/>
                <w:sz w:val="24"/>
              </w:rPr>
              <w:t>其他相符性分析</w:t>
            </w:r>
          </w:p>
        </w:tc>
        <w:tc>
          <w:tcPr>
            <w:tcW w:w="8272" w:type="dxa"/>
            <w:gridSpan w:val="4"/>
            <w:vAlign w:val="center"/>
          </w:tcPr>
          <w:p w14:paraId="07D238BE">
            <w:pPr>
              <w:pStyle w:val="10"/>
              <w:keepNext w:val="0"/>
              <w:keepLines w:val="0"/>
              <w:suppressLineNumbers w:val="0"/>
              <w:adjustRightInd w:val="0"/>
              <w:snapToGrid w:val="0"/>
              <w:spacing w:before="0" w:beforeAutospacing="0" w:after="0" w:afterAutospacing="0" w:line="460" w:lineRule="exact"/>
              <w:ind w:left="0" w:right="0"/>
              <w:rPr>
                <w:rFonts w:ascii="Times New Roman" w:hAnsi="Times New Roman"/>
                <w:b/>
                <w:bCs/>
                <w:sz w:val="24"/>
              </w:rPr>
            </w:pPr>
            <w:r>
              <w:rPr>
                <w:rFonts w:ascii="Times New Roman" w:hAnsi="Times New Roman"/>
                <w:b/>
                <w:bCs/>
                <w:sz w:val="24"/>
              </w:rPr>
              <w:t>1</w:t>
            </w:r>
            <w:r>
              <w:rPr>
                <w:rFonts w:hint="eastAsia" w:ascii="Times New Roman" w:hAnsi="Times New Roman"/>
                <w:b/>
                <w:bCs/>
                <w:sz w:val="24"/>
              </w:rPr>
              <w:t>、</w:t>
            </w:r>
            <w:r>
              <w:rPr>
                <w:rFonts w:ascii="Times New Roman" w:hAnsi="Times New Roman"/>
                <w:b/>
                <w:bCs/>
                <w:sz w:val="24"/>
              </w:rPr>
              <w:t>产业政策相符性分析</w:t>
            </w:r>
          </w:p>
          <w:p w14:paraId="14865E50">
            <w:pPr>
              <w:pStyle w:val="32"/>
              <w:keepNext w:val="0"/>
              <w:keepLines w:val="0"/>
              <w:suppressLineNumbers w:val="0"/>
              <w:spacing w:before="0" w:beforeAutospacing="0" w:after="0" w:afterAutospacing="0" w:line="460" w:lineRule="exact"/>
              <w:ind w:left="0" w:right="0" w:firstLine="480"/>
              <w:rPr>
                <w:sz w:val="24"/>
              </w:rPr>
            </w:pPr>
            <w:r>
              <w:rPr>
                <w:sz w:val="24"/>
              </w:rPr>
              <w:t>根据《产业结构调整指导目录(2024年本)》，本项目属于第一类</w:t>
            </w:r>
            <w:r>
              <w:rPr>
                <w:rFonts w:hint="eastAsia"/>
                <w:sz w:val="24"/>
              </w:rPr>
              <w:t>“鼓励类”</w:t>
            </w:r>
            <w:r>
              <w:rPr>
                <w:sz w:val="24"/>
              </w:rPr>
              <w:t>第四部分</w:t>
            </w:r>
            <w:r>
              <w:rPr>
                <w:rFonts w:hint="eastAsia"/>
                <w:sz w:val="24"/>
              </w:rPr>
              <w:t>“电力”</w:t>
            </w:r>
            <w:r>
              <w:rPr>
                <w:sz w:val="24"/>
              </w:rPr>
              <w:t>第</w:t>
            </w:r>
            <w:r>
              <w:rPr>
                <w:rFonts w:hint="eastAsia"/>
                <w:sz w:val="24"/>
              </w:rPr>
              <w:t>2</w:t>
            </w:r>
            <w:r>
              <w:rPr>
                <w:sz w:val="24"/>
              </w:rPr>
              <w:t>条</w:t>
            </w:r>
            <w:r>
              <w:rPr>
                <w:rFonts w:hint="eastAsia"/>
                <w:sz w:val="24"/>
              </w:rPr>
              <w:t>“</w:t>
            </w:r>
            <w:r>
              <w:rPr>
                <w:sz w:val="24"/>
              </w:rPr>
              <w:t>电力基础设施建设，电网改造与建设，增量配电网建设</w:t>
            </w:r>
            <w:r>
              <w:rPr>
                <w:rFonts w:hint="eastAsia"/>
                <w:sz w:val="24"/>
              </w:rPr>
              <w:t>”，</w:t>
            </w:r>
            <w:r>
              <w:rPr>
                <w:sz w:val="24"/>
              </w:rPr>
              <w:t>项目建设符合《产业结构调整指导目录(2024年本)》。</w:t>
            </w:r>
          </w:p>
          <w:p w14:paraId="539FE63B">
            <w:pPr>
              <w:pStyle w:val="32"/>
              <w:keepNext w:val="0"/>
              <w:keepLines w:val="0"/>
              <w:suppressLineNumbers w:val="0"/>
              <w:spacing w:before="0" w:beforeAutospacing="0" w:after="0" w:afterAutospacing="0" w:line="460" w:lineRule="exact"/>
              <w:ind w:left="0" w:right="0" w:firstLine="0" w:firstLineChars="0"/>
              <w:rPr>
                <w:b/>
                <w:bCs/>
                <w:sz w:val="24"/>
              </w:rPr>
            </w:pPr>
            <w:r>
              <w:rPr>
                <w:rFonts w:hint="eastAsia"/>
                <w:b/>
                <w:bCs/>
                <w:sz w:val="24"/>
              </w:rPr>
              <w:t>2、</w:t>
            </w:r>
            <w:r>
              <w:rPr>
                <w:b/>
                <w:bCs/>
                <w:sz w:val="24"/>
              </w:rPr>
              <w:t>与“‘十四五’可再生能源发展规划”符合性分析</w:t>
            </w:r>
          </w:p>
          <w:p w14:paraId="2435BE97">
            <w:pPr>
              <w:pStyle w:val="32"/>
              <w:keepNext w:val="0"/>
              <w:keepLines w:val="0"/>
              <w:suppressLineNumbers w:val="0"/>
              <w:spacing w:before="0" w:beforeAutospacing="0" w:after="0" w:afterAutospacing="0" w:line="460" w:lineRule="exact"/>
              <w:ind w:left="0" w:right="0" w:firstLine="480"/>
              <w:rPr>
                <w:sz w:val="24"/>
              </w:rPr>
            </w:pPr>
            <w:r>
              <w:rPr>
                <w:sz w:val="24"/>
              </w:rPr>
              <w:t>根据国家</w:t>
            </w:r>
            <w:r>
              <w:rPr>
                <w:rFonts w:hint="eastAsia"/>
                <w:sz w:val="24"/>
              </w:rPr>
              <w:t>发展改革委</w:t>
            </w:r>
            <w:r>
              <w:rPr>
                <w:sz w:val="24"/>
              </w:rPr>
              <w:t>、国家能源局等九大部门联合发文的《“十四五”可再生能源发展规划》，大力推进风电和光伏发电基地化开发：“在风能和太阳能资源禀赋较好、建设条件优越、具备持续规模化开发条件的地区，着力提升新能源就地消纳和外送能力，重点建设新疆、黄河上游、河西走廊、黄河几字弯、冀北、松辽、黄河下游新能源基地和海上风电基地集群”、“统筹推进陆上风电和光伏发电基地建设。发挥区域市场优势主要依托省级和区域电网消纳能力提升，创新开发利用方式，推进松辽、冀北、黄河下游等以就地消纳为主的大型风电和光伏发电基地建设。利用省内省外两个市场，依托既有和新增跨省跨区输电通道、火电“点对网”外送通道，推动光伏治沙、可再生能源制氢和多能互补开发，重点建设新疆、黄河上游、河西走廊、黄河几字弯等新能源基地”和“加快推进以沙漠、戈壁、荒漠地区为重点的大型风电太阳能发电基地。以风光资源为依托、以区域电网为支撑、以输电通道为牵引、以高效消纳为目标，统筹优化风电光伏布局和支撑调节电源，在内蒙古、青海、甘肃等西部北部沙漠、戈壁、荒漠地区，加快建设一批生态友好、经济优越、体现国家战略和国家意志的大型风电光伏基地项目。”</w:t>
            </w:r>
            <w:r>
              <w:rPr>
                <w:rFonts w:hint="eastAsia"/>
                <w:sz w:val="24"/>
              </w:rPr>
              <w:t>本项目为</w:t>
            </w:r>
            <w:r>
              <w:rPr>
                <w:sz w:val="24"/>
              </w:rPr>
              <w:t>输变电工程，属于清洁能源（电力）输送项目，因此符合与“十四五”可再生能源发展规划的要求。</w:t>
            </w:r>
          </w:p>
          <w:p w14:paraId="6126B586">
            <w:pPr>
              <w:pStyle w:val="32"/>
              <w:keepNext w:val="0"/>
              <w:keepLines w:val="0"/>
              <w:suppressLineNumbers w:val="0"/>
              <w:spacing w:before="0" w:beforeAutospacing="0" w:after="0" w:afterAutospacing="0" w:line="460" w:lineRule="exact"/>
              <w:ind w:left="0" w:right="0" w:firstLine="0" w:firstLineChars="0"/>
              <w:rPr>
                <w:b/>
                <w:bCs/>
                <w:sz w:val="24"/>
              </w:rPr>
            </w:pPr>
            <w:r>
              <w:rPr>
                <w:rFonts w:hint="eastAsia"/>
                <w:b/>
                <w:bCs/>
                <w:sz w:val="24"/>
              </w:rPr>
              <w:t>3</w:t>
            </w:r>
            <w:r>
              <w:rPr>
                <w:b/>
                <w:bCs/>
                <w:sz w:val="24"/>
              </w:rPr>
              <w:t>、与《新疆维吾尔自治区国民经济和社会发展第十四个五年规划和2035</w:t>
            </w:r>
          </w:p>
          <w:p w14:paraId="76F20197">
            <w:pPr>
              <w:pStyle w:val="32"/>
              <w:keepNext w:val="0"/>
              <w:keepLines w:val="0"/>
              <w:suppressLineNumbers w:val="0"/>
              <w:spacing w:before="0" w:beforeAutospacing="0" w:after="0" w:afterAutospacing="0" w:line="460" w:lineRule="exact"/>
              <w:ind w:left="0" w:right="0" w:firstLine="0" w:firstLineChars="0"/>
              <w:rPr>
                <w:b/>
                <w:bCs/>
                <w:sz w:val="24"/>
              </w:rPr>
            </w:pPr>
            <w:r>
              <w:rPr>
                <w:b/>
                <w:bCs/>
                <w:sz w:val="24"/>
              </w:rPr>
              <w:t>年远景目标纲要》符合性分析</w:t>
            </w:r>
          </w:p>
          <w:p w14:paraId="5F0BDDFB">
            <w:pPr>
              <w:pStyle w:val="32"/>
              <w:keepNext w:val="0"/>
              <w:keepLines w:val="0"/>
              <w:suppressLineNumbers w:val="0"/>
              <w:spacing w:before="0" w:beforeAutospacing="0" w:after="0" w:afterAutospacing="0" w:line="460" w:lineRule="exact"/>
              <w:ind w:left="0" w:right="0" w:firstLine="480"/>
              <w:rPr>
                <w:sz w:val="24"/>
              </w:rPr>
            </w:pPr>
            <w:r>
              <w:rPr>
                <w:sz w:val="24"/>
              </w:rPr>
              <w:t>加快建设国家</w:t>
            </w:r>
            <w:r>
              <w:rPr>
                <w:rFonts w:hint="eastAsia"/>
                <w:sz w:val="24"/>
              </w:rPr>
              <w:t>“</w:t>
            </w:r>
            <w:r>
              <w:rPr>
                <w:sz w:val="24"/>
              </w:rPr>
              <w:t>三基地一通道</w:t>
            </w:r>
            <w:r>
              <w:rPr>
                <w:rFonts w:hint="eastAsia"/>
                <w:sz w:val="24"/>
              </w:rPr>
              <w:t>”，</w:t>
            </w:r>
            <w:r>
              <w:rPr>
                <w:sz w:val="24"/>
              </w:rPr>
              <w:t>落实国家能源发展战略，围绕国家</w:t>
            </w:r>
          </w:p>
          <w:p w14:paraId="41CB5037">
            <w:pPr>
              <w:pStyle w:val="32"/>
              <w:keepNext w:val="0"/>
              <w:keepLines w:val="0"/>
              <w:suppressLineNumbers w:val="0"/>
              <w:spacing w:before="0" w:beforeAutospacing="0" w:after="0" w:afterAutospacing="0" w:line="460" w:lineRule="exact"/>
              <w:ind w:left="0" w:right="0" w:firstLine="0" w:firstLineChars="0"/>
              <w:rPr>
                <w:sz w:val="24"/>
              </w:rPr>
            </w:pPr>
            <w:r>
              <w:rPr>
                <w:rFonts w:hint="eastAsia"/>
                <w:sz w:val="24"/>
              </w:rPr>
              <w:t>“</w:t>
            </w:r>
            <w:r>
              <w:rPr>
                <w:sz w:val="24"/>
              </w:rPr>
              <w:t>三基地一通道</w:t>
            </w:r>
            <w:r>
              <w:rPr>
                <w:rFonts w:hint="eastAsia"/>
                <w:sz w:val="24"/>
              </w:rPr>
              <w:t>”</w:t>
            </w:r>
            <w:r>
              <w:rPr>
                <w:sz w:val="24"/>
              </w:rPr>
              <w:t>定位，加快煤电油气风光储一体化示范，构建清洁低</w:t>
            </w:r>
          </w:p>
          <w:p w14:paraId="79B2B382">
            <w:pPr>
              <w:pStyle w:val="32"/>
              <w:keepNext w:val="0"/>
              <w:keepLines w:val="0"/>
              <w:suppressLineNumbers w:val="0"/>
              <w:spacing w:before="0" w:beforeAutospacing="0" w:after="0" w:afterAutospacing="0" w:line="460" w:lineRule="exact"/>
              <w:ind w:left="0" w:right="0" w:firstLine="0" w:firstLineChars="0"/>
              <w:rPr>
                <w:sz w:val="24"/>
              </w:rPr>
            </w:pPr>
            <w:r>
              <w:rPr>
                <w:sz w:val="24"/>
              </w:rPr>
              <w:t>碳、安全高效的能源体系，保障国家能源安全供应。</w:t>
            </w:r>
          </w:p>
          <w:p w14:paraId="70444FCD">
            <w:pPr>
              <w:pStyle w:val="32"/>
              <w:keepNext w:val="0"/>
              <w:keepLines w:val="0"/>
              <w:suppressLineNumbers w:val="0"/>
              <w:spacing w:before="0" w:beforeAutospacing="0" w:after="0" w:afterAutospacing="0" w:line="460" w:lineRule="exact"/>
              <w:ind w:left="0" w:right="0" w:firstLine="480"/>
              <w:rPr>
                <w:sz w:val="24"/>
              </w:rPr>
            </w:pPr>
            <w:r>
              <w:rPr>
                <w:sz w:val="24"/>
              </w:rPr>
              <w:t>本项目为</w:t>
            </w:r>
            <w:r>
              <w:rPr>
                <w:rFonts w:hint="eastAsia"/>
                <w:sz w:val="24"/>
              </w:rPr>
              <w:t>京能吐鲁番市托克逊县产业园区低碳转型光伏项目220千伏输变电工程</w:t>
            </w:r>
            <w:r>
              <w:rPr>
                <w:sz w:val="24"/>
              </w:rPr>
              <w:t>，可以构建清洁低碳、安全高效的能源体系，符合新疆维吾尔自治区国民经济和社会发展第十四个五年规划和2035年远景目标纲要要求。</w:t>
            </w:r>
          </w:p>
          <w:p w14:paraId="6DB714C2">
            <w:pPr>
              <w:pStyle w:val="32"/>
              <w:keepNext w:val="0"/>
              <w:keepLines w:val="0"/>
              <w:suppressLineNumbers w:val="0"/>
              <w:spacing w:before="0" w:beforeAutospacing="0" w:after="0" w:afterAutospacing="0" w:line="460" w:lineRule="exact"/>
              <w:ind w:left="0" w:right="0" w:firstLine="0" w:firstLineChars="0"/>
              <w:rPr>
                <w:b/>
                <w:bCs/>
                <w:sz w:val="24"/>
              </w:rPr>
            </w:pPr>
            <w:r>
              <w:rPr>
                <w:rFonts w:hint="eastAsia"/>
                <w:b/>
                <w:bCs/>
                <w:sz w:val="24"/>
              </w:rPr>
              <w:t>4、</w:t>
            </w:r>
            <w:r>
              <w:rPr>
                <w:b/>
                <w:bCs/>
                <w:sz w:val="24"/>
              </w:rPr>
              <w:t>与《新疆维吾尔自治区辐射污染防治办法》的符合性分析</w:t>
            </w:r>
          </w:p>
          <w:p w14:paraId="7CCA2CA3">
            <w:pPr>
              <w:pStyle w:val="32"/>
              <w:keepNext w:val="0"/>
              <w:keepLines w:val="0"/>
              <w:suppressLineNumbers w:val="0"/>
              <w:spacing w:before="0" w:beforeAutospacing="0" w:after="0" w:afterAutospacing="0" w:line="360" w:lineRule="auto"/>
              <w:ind w:left="0" w:right="0" w:firstLine="480"/>
              <w:rPr>
                <w:sz w:val="24"/>
              </w:rPr>
            </w:pPr>
            <w:r>
              <w:rPr>
                <w:sz w:val="24"/>
              </w:rPr>
              <w:t>根据《新疆维吾尔自治区辐射污染防治办法》中，“新建、改建、扩建电磁辐射建设项目，或者使用超出豁免水平的电磁辐射设施、设备的，应当按照国务院环境保护行政主管部门依法制定并公布的建设项目环境影响评价分类管理名录执行”。本项目为</w:t>
            </w:r>
            <w:r>
              <w:rPr>
                <w:rFonts w:hint="eastAsia"/>
                <w:sz w:val="24"/>
              </w:rPr>
              <w:t>京能吐鲁番市托克逊县产业园区低碳转型光伏项目220千伏输变电工程</w:t>
            </w:r>
            <w:r>
              <w:rPr>
                <w:sz w:val="24"/>
              </w:rPr>
              <w:t>，根据分类管理名录编制报告表，本次环评即为报告表项目并编制了电磁辐射专题评价章节，因此本项目符合《新疆维吾尔自治区辐射污染防治办法》中的相关规定。</w:t>
            </w:r>
          </w:p>
          <w:p w14:paraId="6DC7F803">
            <w:pPr>
              <w:pStyle w:val="32"/>
              <w:keepNext w:val="0"/>
              <w:keepLines w:val="0"/>
              <w:suppressLineNumbers w:val="0"/>
              <w:spacing w:before="0" w:beforeAutospacing="0" w:after="0" w:afterAutospacing="0" w:line="360" w:lineRule="auto"/>
              <w:ind w:left="0" w:right="0" w:firstLine="0" w:firstLineChars="0"/>
              <w:rPr>
                <w:b/>
                <w:bCs/>
                <w:sz w:val="24"/>
              </w:rPr>
            </w:pPr>
            <w:r>
              <w:rPr>
                <w:rFonts w:hint="eastAsia"/>
                <w:b/>
                <w:bCs/>
                <w:sz w:val="24"/>
              </w:rPr>
              <w:t>5、</w:t>
            </w:r>
            <w:r>
              <w:rPr>
                <w:b/>
                <w:bCs/>
                <w:sz w:val="24"/>
              </w:rPr>
              <w:t>与《新疆生态环境保护“十四五”规划》符合性分析</w:t>
            </w:r>
          </w:p>
          <w:p w14:paraId="51DE6CC8">
            <w:pPr>
              <w:pStyle w:val="32"/>
              <w:keepNext w:val="0"/>
              <w:keepLines w:val="0"/>
              <w:suppressLineNumbers w:val="0"/>
              <w:spacing w:before="0" w:beforeAutospacing="0" w:after="0" w:afterAutospacing="0" w:line="360" w:lineRule="auto"/>
              <w:ind w:left="0" w:right="0" w:firstLine="480"/>
              <w:rPr>
                <w:sz w:val="24"/>
              </w:rPr>
            </w:pPr>
            <w:r>
              <w:rPr>
                <w:sz w:val="24"/>
              </w:rPr>
              <w:t>2021年12月24日，自治区党委、自治区人民政府印发《新疆生态环境保护“十四五”规划》，规划要求：继续推进“电气化新疆”建设，实施清洁能源行动计划，加快城乡</w:t>
            </w:r>
            <w:r>
              <w:rPr>
                <w:rFonts w:hint="eastAsia"/>
                <w:sz w:val="24"/>
                <w:lang w:eastAsia="zh-CN"/>
              </w:rPr>
              <w:t>接</w:t>
            </w:r>
            <w:r>
              <w:rPr>
                <w:sz w:val="24"/>
              </w:rPr>
              <w:t>合部、农村民用和农业生产散烧煤的清洁能源替代，加大可再生能源消纳力度。稳步推进“煤改电”工程，拓展多种清洁供暖方式，提高清洁能源利用水平。本项目为</w:t>
            </w:r>
            <w:r>
              <w:rPr>
                <w:rFonts w:hint="eastAsia"/>
                <w:sz w:val="24"/>
              </w:rPr>
              <w:t>京能吐鲁番市托克逊县产业园区低碳转型光伏项目220千伏输变电工程</w:t>
            </w:r>
            <w:r>
              <w:rPr>
                <w:sz w:val="24"/>
              </w:rPr>
              <w:t>，属于清洁能源（电力）输送项目，与规划相符。</w:t>
            </w:r>
          </w:p>
          <w:p w14:paraId="426D7328">
            <w:pPr>
              <w:keepNext w:val="0"/>
              <w:keepLines w:val="0"/>
              <w:suppressLineNumbers w:val="0"/>
              <w:snapToGrid w:val="0"/>
              <w:spacing w:before="0" w:beforeAutospacing="0" w:after="0" w:afterAutospacing="0" w:line="360" w:lineRule="auto"/>
              <w:ind w:left="0" w:right="0"/>
              <w:rPr>
                <w:b/>
                <w:bCs/>
                <w:sz w:val="24"/>
              </w:rPr>
            </w:pPr>
            <w:r>
              <w:rPr>
                <w:rFonts w:hint="eastAsia"/>
                <w:b/>
                <w:bCs/>
                <w:sz w:val="24"/>
              </w:rPr>
              <w:t>6、与《新疆维吾尔自治区重点行业生态环境准入条件（2024年）》的符合性分析</w:t>
            </w:r>
          </w:p>
          <w:p w14:paraId="15EAA883">
            <w:pPr>
              <w:keepNext w:val="0"/>
              <w:keepLines w:val="0"/>
              <w:suppressLineNumbers w:val="0"/>
              <w:snapToGrid w:val="0"/>
              <w:spacing w:before="0" w:beforeAutospacing="0" w:after="0" w:afterAutospacing="0" w:line="360" w:lineRule="auto"/>
              <w:ind w:left="0" w:right="0" w:firstLine="480" w:firstLineChars="200"/>
              <w:rPr>
                <w:rFonts w:ascii="宋体" w:hAnsi="宋体" w:cs="宋体"/>
                <w:snapToGrid w:val="0"/>
                <w:sz w:val="24"/>
              </w:rPr>
            </w:pPr>
            <w:r>
              <w:rPr>
                <w:rFonts w:hint="eastAsia" w:ascii="宋体" w:hAnsi="宋体" w:cs="宋体"/>
                <w:snapToGrid w:val="0"/>
                <w:sz w:val="24"/>
              </w:rPr>
              <w:t>本项目包含光伏发电项目配套建设的升压站及输送电路项目，属于新疆维吾尔自治区重点行业中的电力行业。</w:t>
            </w:r>
          </w:p>
          <w:p w14:paraId="2BA98BFE">
            <w:pPr>
              <w:keepNext w:val="0"/>
              <w:keepLines w:val="0"/>
              <w:suppressLineNumbers w:val="0"/>
              <w:snapToGrid w:val="0"/>
              <w:spacing w:before="0" w:beforeAutospacing="0" w:after="0" w:afterAutospacing="0" w:line="360" w:lineRule="auto"/>
              <w:ind w:left="0" w:right="0" w:firstLine="480" w:firstLineChars="200"/>
              <w:rPr>
                <w:rFonts w:ascii="宋体" w:hAnsi="宋体" w:cs="宋体"/>
                <w:snapToGrid w:val="0"/>
                <w:color w:val="000000" w:themeColor="text1"/>
                <w:sz w:val="24"/>
              </w:rPr>
            </w:pPr>
            <w:r>
              <w:rPr>
                <w:rFonts w:hint="eastAsia" w:ascii="宋体" w:hAnsi="宋体" w:cs="宋体"/>
                <w:snapToGrid w:val="0"/>
                <w:sz w:val="24"/>
              </w:rPr>
              <w:t>根据《新疆维吾尔自治区重点行业生态环境准入条件（2024年）》，“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建设项目用地原则上不得占用基本农田，确需占用的，应符合《中华人民共和国基本农田保护条例》相关要求；占用耕地、林地或草地的建设项目应符合国家、自治区有关规定”“风电、光伏发电项目应与项目当地风能、光伏资源、环境等情况</w:t>
            </w:r>
            <w:r>
              <w:rPr>
                <w:rFonts w:hint="eastAsia" w:ascii="宋体" w:hAnsi="宋体" w:cs="宋体"/>
                <w:snapToGrid w:val="0"/>
                <w:color w:val="000000" w:themeColor="text1"/>
                <w:sz w:val="24"/>
              </w:rPr>
              <w:t>相适应，用地必须符合土地供应政策和土地使用标准。”</w:t>
            </w:r>
          </w:p>
          <w:p w14:paraId="3C9B2813">
            <w:pPr>
              <w:keepNext w:val="0"/>
              <w:keepLines w:val="0"/>
              <w:suppressLineNumbers w:val="0"/>
              <w:snapToGrid w:val="0"/>
              <w:spacing w:before="0" w:beforeAutospacing="0" w:after="0" w:afterAutospacing="0" w:line="360" w:lineRule="auto"/>
              <w:ind w:left="0" w:right="0" w:firstLine="480" w:firstLineChars="200"/>
              <w:rPr>
                <w:rFonts w:ascii="宋体" w:hAnsi="宋体" w:cs="宋体"/>
                <w:sz w:val="24"/>
              </w:rPr>
            </w:pPr>
            <w:r>
              <w:rPr>
                <w:rFonts w:hint="eastAsia" w:ascii="宋体" w:hAnsi="宋体" w:cs="宋体"/>
                <w:snapToGrid w:val="0"/>
                <w:color w:val="000000" w:themeColor="text1"/>
                <w:sz w:val="24"/>
              </w:rPr>
              <w:t>本项目位于</w:t>
            </w:r>
            <w:r>
              <w:rPr>
                <w:rFonts w:hint="eastAsia" w:ascii="宋体" w:hAnsi="宋体" w:cs="宋体"/>
                <w:color w:val="000000" w:themeColor="text1"/>
                <w:sz w:val="24"/>
              </w:rPr>
              <w:t>吐鲁番市托克逊县库米什镇</w:t>
            </w:r>
            <w:r>
              <w:rPr>
                <w:rFonts w:hint="eastAsia" w:ascii="宋体" w:hAnsi="宋体" w:cs="宋体"/>
                <w:snapToGrid w:val="0"/>
                <w:color w:val="000000" w:themeColor="text1"/>
                <w:sz w:val="24"/>
              </w:rPr>
              <w:t>，不位于自然保护区、世界自然遗产地、风景名胜区、自然公园（森林公园、地质公园</w:t>
            </w:r>
            <w:r>
              <w:rPr>
                <w:rFonts w:hint="eastAsia" w:ascii="宋体" w:hAnsi="宋体" w:cs="宋体"/>
                <w:snapToGrid w:val="0"/>
                <w:sz w:val="24"/>
              </w:rPr>
              <w:t>、湿地公园、沙漠公园等）、重要湿地、饮用水水源保护区等依法划定禁止开发建设的环境敏感区及其它法律法规规章禁止的区域，本项目用地不占用基本农田、耕地、林地、草地，本项目的建设与项目当地光伏资源、环境等情况相适应，用地符合土地供应政策和土地使用标准。</w:t>
            </w:r>
          </w:p>
          <w:p w14:paraId="641ADD79">
            <w:pPr>
              <w:pStyle w:val="32"/>
              <w:keepNext w:val="0"/>
              <w:keepLines w:val="0"/>
              <w:suppressLineNumbers w:val="0"/>
              <w:spacing w:before="0" w:beforeAutospacing="0" w:after="0" w:afterAutospacing="0" w:line="360" w:lineRule="auto"/>
              <w:ind w:left="0" w:right="0" w:firstLine="0" w:firstLineChars="0"/>
              <w:rPr>
                <w:b/>
                <w:bCs/>
                <w:sz w:val="24"/>
              </w:rPr>
            </w:pPr>
            <w:r>
              <w:rPr>
                <w:rFonts w:hint="eastAsia"/>
                <w:b/>
                <w:bCs/>
                <w:sz w:val="24"/>
              </w:rPr>
              <w:t>7</w:t>
            </w:r>
            <w:r>
              <w:rPr>
                <w:b/>
                <w:bCs/>
                <w:sz w:val="24"/>
              </w:rPr>
              <w:t>、与《输变电建设项目环境保护技术要求》符合性分析</w:t>
            </w:r>
          </w:p>
          <w:p w14:paraId="3E83679D">
            <w:pPr>
              <w:pStyle w:val="30"/>
              <w:keepNext w:val="0"/>
              <w:keepLines w:val="0"/>
              <w:suppressLineNumbers w:val="0"/>
              <w:spacing w:before="79" w:beforeAutospacing="0" w:after="0" w:afterAutospacing="0" w:line="360" w:lineRule="auto"/>
              <w:ind w:left="17" w:right="9" w:firstLine="480"/>
              <w:rPr>
                <w:rFonts w:ascii="Times New Roman" w:hAnsi="Times New Roman" w:cs="Times New Roman"/>
                <w:lang w:eastAsia="zh-CN"/>
              </w:rPr>
            </w:pPr>
            <w:r>
              <w:rPr>
                <w:rFonts w:hint="eastAsia" w:ascii="Times New Roman" w:hAnsi="Times New Roman" w:cs="Times New Roman"/>
                <w:lang w:eastAsia="zh-CN"/>
              </w:rPr>
              <w:t>根据《输变电建设项目环境保护技术要求》 (HJ1113-2020)(以下简称“要求”)中选址、设计等相关技术内容，本项目符合要求。</w:t>
            </w:r>
          </w:p>
          <w:p w14:paraId="453374F9">
            <w:pPr>
              <w:pStyle w:val="30"/>
              <w:keepNext w:val="0"/>
              <w:keepLines w:val="0"/>
              <w:suppressLineNumbers w:val="0"/>
              <w:spacing w:before="79" w:beforeAutospacing="0" w:after="0" w:afterAutospacing="0" w:line="360" w:lineRule="auto"/>
              <w:ind w:left="0" w:right="9"/>
              <w:jc w:val="center"/>
              <w:rPr>
                <w:rFonts w:ascii="Times New Roman" w:hAnsi="Times New Roman" w:cs="Times New Roman"/>
                <w:sz w:val="21"/>
                <w:szCs w:val="21"/>
                <w:lang w:eastAsia="zh-CN"/>
              </w:rPr>
            </w:pPr>
            <w:r>
              <w:rPr>
                <w:rFonts w:hint="eastAsia"/>
                <w:b/>
                <w:bCs/>
                <w:spacing w:val="-3"/>
                <w:sz w:val="21"/>
                <w:szCs w:val="21"/>
                <w:lang w:eastAsia="zh-CN"/>
              </w:rPr>
              <w:t xml:space="preserve">表1-1 </w:t>
            </w:r>
            <w:r>
              <w:rPr>
                <w:rFonts w:hint="eastAsia"/>
                <w:b/>
                <w:bCs/>
                <w:spacing w:val="-3"/>
                <w:sz w:val="21"/>
                <w:szCs w:val="21"/>
                <w:lang w:val="en-US" w:eastAsia="zh-CN"/>
              </w:rPr>
              <w:t xml:space="preserve">  </w:t>
            </w:r>
            <w:r>
              <w:rPr>
                <w:b/>
                <w:bCs/>
                <w:spacing w:val="-3"/>
                <w:sz w:val="21"/>
                <w:szCs w:val="21"/>
              </w:rPr>
              <w:t>与《输变电建设项目环境保护技术要求》的符合性分析</w:t>
            </w:r>
          </w:p>
          <w:tbl>
            <w:tblPr>
              <w:tblStyle w:val="31"/>
              <w:tblW w:w="78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1075"/>
              <w:gridCol w:w="1333"/>
              <w:gridCol w:w="1084"/>
              <w:gridCol w:w="117"/>
              <w:gridCol w:w="1206"/>
              <w:gridCol w:w="1359"/>
              <w:gridCol w:w="1047"/>
            </w:tblGrid>
            <w:tr w14:paraId="7E884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378" w:type="pct"/>
                  <w:tcBorders>
                    <w:top w:val="single" w:color="000000" w:sz="6" w:space="0"/>
                    <w:bottom w:val="single" w:color="auto" w:sz="4" w:space="0"/>
                  </w:tcBorders>
                  <w:vAlign w:val="center"/>
                </w:tcPr>
                <w:p w14:paraId="4DA2280B">
                  <w:pPr>
                    <w:pStyle w:val="30"/>
                    <w:spacing w:before="58" w:line="218"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序号</w:t>
                  </w:r>
                </w:p>
              </w:tc>
              <w:tc>
                <w:tcPr>
                  <w:tcW w:w="2234" w:type="pct"/>
                  <w:gridSpan w:val="3"/>
                  <w:tcBorders>
                    <w:top w:val="single" w:color="000000" w:sz="6" w:space="0"/>
                    <w:bottom w:val="single" w:color="auto" w:sz="4" w:space="0"/>
                  </w:tcBorders>
                  <w:vAlign w:val="center"/>
                </w:tcPr>
                <w:p w14:paraId="0D7A021A">
                  <w:pPr>
                    <w:pStyle w:val="30"/>
                    <w:spacing w:before="65" w:line="225"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具体要求</w:t>
                  </w:r>
                </w:p>
              </w:tc>
              <w:tc>
                <w:tcPr>
                  <w:tcW w:w="1717" w:type="pct"/>
                  <w:gridSpan w:val="3"/>
                  <w:tcBorders>
                    <w:top w:val="single" w:color="000000" w:sz="6" w:space="0"/>
                  </w:tcBorders>
                  <w:vAlign w:val="center"/>
                </w:tcPr>
                <w:p w14:paraId="653A3CE2">
                  <w:pPr>
                    <w:pStyle w:val="30"/>
                    <w:spacing w:before="65" w:line="224"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项目实际情况</w:t>
                  </w:r>
                </w:p>
              </w:tc>
              <w:tc>
                <w:tcPr>
                  <w:tcW w:w="670" w:type="pct"/>
                  <w:tcBorders>
                    <w:top w:val="single" w:color="000000" w:sz="6" w:space="0"/>
                    <w:right w:val="single" w:color="000000" w:sz="6" w:space="0"/>
                  </w:tcBorders>
                  <w:vAlign w:val="center"/>
                </w:tcPr>
                <w:p w14:paraId="270119DB">
                  <w:pPr>
                    <w:pStyle w:val="30"/>
                    <w:spacing w:before="65" w:line="224"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是否符合</w:t>
                  </w:r>
                </w:p>
              </w:tc>
            </w:tr>
            <w:tr w14:paraId="05CFA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9" w:hRule="atLeast"/>
                <w:jc w:val="center"/>
              </w:trPr>
              <w:tc>
                <w:tcPr>
                  <w:tcW w:w="378" w:type="pct"/>
                  <w:vMerge w:val="restart"/>
                  <w:tcBorders>
                    <w:top w:val="single" w:color="auto" w:sz="4" w:space="0"/>
                    <w:left w:val="single" w:color="auto" w:sz="4" w:space="0"/>
                    <w:bottom w:val="nil"/>
                  </w:tcBorders>
                  <w:textDirection w:val="tbRlV"/>
                  <w:vAlign w:val="center"/>
                </w:tcPr>
                <w:p w14:paraId="63A57942">
                  <w:pPr>
                    <w:pStyle w:val="30"/>
                    <w:spacing w:before="58" w:line="216"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选址选线</w:t>
                  </w:r>
                </w:p>
              </w:tc>
              <w:tc>
                <w:tcPr>
                  <w:tcW w:w="2234" w:type="pct"/>
                  <w:gridSpan w:val="3"/>
                  <w:tcBorders>
                    <w:top w:val="single" w:color="auto" w:sz="4" w:space="0"/>
                    <w:right w:val="single" w:color="auto" w:sz="4" w:space="0"/>
                  </w:tcBorders>
                  <w:vAlign w:val="center"/>
                </w:tcPr>
                <w:p w14:paraId="37AE0101">
                  <w:pPr>
                    <w:pStyle w:val="30"/>
                    <w:spacing w:before="34" w:line="247" w:lineRule="auto"/>
                    <w:ind w:left="58" w:right="29"/>
                    <w:rPr>
                      <w:rFonts w:ascii="Times New Roman" w:hAnsi="Times New Roman" w:cs="Times New Roman"/>
                      <w:sz w:val="21"/>
                      <w:szCs w:val="21"/>
                    </w:rPr>
                  </w:pPr>
                  <w:r>
                    <w:rPr>
                      <w:rFonts w:ascii="Times New Roman" w:hAnsi="Times New Roman" w:cs="Times New Roman"/>
                      <w:spacing w:val="19"/>
                      <w:sz w:val="21"/>
                      <w:szCs w:val="21"/>
                    </w:rPr>
                    <w:t>输变电建设项目选址选线应符合生态</w:t>
                  </w:r>
                  <w:r>
                    <w:rPr>
                      <w:rFonts w:ascii="Times New Roman" w:hAnsi="Times New Roman" w:cs="Times New Roman"/>
                      <w:spacing w:val="7"/>
                      <w:sz w:val="21"/>
                      <w:szCs w:val="21"/>
                    </w:rPr>
                    <w:t>保护红线管控要求，避让自然保护区、</w:t>
                  </w:r>
                  <w:r>
                    <w:rPr>
                      <w:rFonts w:ascii="Times New Roman" w:hAnsi="Times New Roman" w:cs="Times New Roman"/>
                      <w:spacing w:val="5"/>
                      <w:sz w:val="21"/>
                      <w:szCs w:val="21"/>
                    </w:rPr>
                    <w:t>饮用水水源保护区等环境敏感区。确实</w:t>
                  </w:r>
                  <w:r>
                    <w:rPr>
                      <w:rFonts w:ascii="Times New Roman" w:hAnsi="Times New Roman" w:cs="Times New Roman"/>
                      <w:spacing w:val="18"/>
                      <w:sz w:val="21"/>
                      <w:szCs w:val="21"/>
                    </w:rPr>
                    <w:t>因自然条件等因素限制无法避让自然</w:t>
                  </w:r>
                  <w:r>
                    <w:rPr>
                      <w:rFonts w:ascii="Times New Roman" w:hAnsi="Times New Roman" w:cs="Times New Roman"/>
                      <w:spacing w:val="5"/>
                      <w:sz w:val="21"/>
                      <w:szCs w:val="21"/>
                    </w:rPr>
                    <w:t>保护区试验区、饮用水水源二级保护区等环境敏感区的输电线路，应在满足相</w:t>
                  </w:r>
                  <w:r>
                    <w:rPr>
                      <w:rFonts w:ascii="Times New Roman" w:hAnsi="Times New Roman" w:cs="Times New Roman"/>
                      <w:spacing w:val="18"/>
                      <w:sz w:val="21"/>
                      <w:szCs w:val="21"/>
                    </w:rPr>
                    <w:t>关法律法规及管理要求的前提下对线</w:t>
                  </w:r>
                  <w:r>
                    <w:rPr>
                      <w:rFonts w:ascii="Times New Roman" w:hAnsi="Times New Roman" w:cs="Times New Roman"/>
                      <w:spacing w:val="5"/>
                      <w:sz w:val="21"/>
                      <w:szCs w:val="21"/>
                    </w:rPr>
                    <w:t>路方案进行唯一性论证，并采取无害化方式通过。</w:t>
                  </w:r>
                </w:p>
              </w:tc>
              <w:tc>
                <w:tcPr>
                  <w:tcW w:w="1717" w:type="pct"/>
                  <w:gridSpan w:val="3"/>
                  <w:tcBorders>
                    <w:left w:val="single" w:color="auto" w:sz="4" w:space="0"/>
                  </w:tcBorders>
                  <w:vAlign w:val="center"/>
                </w:tcPr>
                <w:p w14:paraId="12922880">
                  <w:pPr>
                    <w:widowControl/>
                    <w:jc w:val="left"/>
                    <w:rPr>
                      <w:spacing w:val="15"/>
                      <w:szCs w:val="21"/>
                      <w:lang w:eastAsia="en-US"/>
                    </w:rPr>
                  </w:pPr>
                  <w:r>
                    <w:rPr>
                      <w:spacing w:val="15"/>
                      <w:szCs w:val="21"/>
                    </w:rPr>
                    <w:t>本项目不在生态保护红线管控区内，不涉及自然保护区、饮用水水源保护区等环境敏感区。</w:t>
                  </w:r>
                </w:p>
                <w:p w14:paraId="22AC4662">
                  <w:pPr>
                    <w:pStyle w:val="30"/>
                    <w:spacing w:before="65" w:line="244" w:lineRule="auto"/>
                    <w:ind w:right="50"/>
                    <w:rPr>
                      <w:rFonts w:ascii="Times New Roman" w:hAnsi="Times New Roman" w:cs="Times New Roman"/>
                      <w:sz w:val="21"/>
                      <w:szCs w:val="21"/>
                    </w:rPr>
                  </w:pPr>
                  <w:r>
                    <w:rPr>
                      <w:rFonts w:ascii="Times New Roman" w:hAnsi="Times New Roman" w:cs="Times New Roman"/>
                      <w:spacing w:val="15"/>
                      <w:sz w:val="21"/>
                      <w:szCs w:val="21"/>
                    </w:rPr>
                    <w:t>本项目建设符合生态保护红线管控要求。</w:t>
                  </w:r>
                </w:p>
              </w:tc>
              <w:tc>
                <w:tcPr>
                  <w:tcW w:w="670" w:type="pct"/>
                  <w:tcBorders>
                    <w:right w:val="single" w:color="000000" w:sz="6" w:space="0"/>
                  </w:tcBorders>
                  <w:vAlign w:val="center"/>
                </w:tcPr>
                <w:p w14:paraId="79B11098">
                  <w:pPr>
                    <w:pStyle w:val="30"/>
                    <w:spacing w:before="198" w:line="215" w:lineRule="auto"/>
                    <w:jc w:val="center"/>
                    <w:rPr>
                      <w:rFonts w:ascii="Times New Roman" w:hAnsi="Times New Roman" w:cs="Times New Roman"/>
                      <w:sz w:val="21"/>
                      <w:szCs w:val="21"/>
                      <w:lang w:eastAsia="zh-CN"/>
                    </w:rPr>
                  </w:pPr>
                  <w:r>
                    <w:rPr>
                      <w:rFonts w:ascii="Times New Roman" w:hAnsi="Times New Roman" w:cs="Times New Roman"/>
                      <w:spacing w:val="7"/>
                      <w:sz w:val="21"/>
                      <w:szCs w:val="21"/>
                      <w:lang w:eastAsia="zh-CN"/>
                    </w:rPr>
                    <w:t>符合</w:t>
                  </w:r>
                </w:p>
              </w:tc>
            </w:tr>
            <w:tr w14:paraId="3DF78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jc w:val="center"/>
              </w:trPr>
              <w:tc>
                <w:tcPr>
                  <w:tcW w:w="378" w:type="pct"/>
                  <w:vMerge w:val="continue"/>
                  <w:tcBorders>
                    <w:top w:val="nil"/>
                    <w:left w:val="single" w:color="auto" w:sz="4" w:space="0"/>
                    <w:bottom w:val="nil"/>
                  </w:tcBorders>
                  <w:textDirection w:val="tbRlV"/>
                  <w:vAlign w:val="center"/>
                </w:tcPr>
                <w:p w14:paraId="77543F44">
                  <w:pPr>
                    <w:rPr>
                      <w:szCs w:val="21"/>
                    </w:rPr>
                  </w:pPr>
                </w:p>
              </w:tc>
              <w:tc>
                <w:tcPr>
                  <w:tcW w:w="2234" w:type="pct"/>
                  <w:gridSpan w:val="3"/>
                  <w:tcBorders>
                    <w:right w:val="single" w:color="auto" w:sz="4" w:space="0"/>
                  </w:tcBorders>
                  <w:vAlign w:val="center"/>
                </w:tcPr>
                <w:p w14:paraId="757EC638">
                  <w:pPr>
                    <w:pStyle w:val="30"/>
                    <w:spacing w:before="38" w:line="243" w:lineRule="auto"/>
                    <w:ind w:left="58" w:right="52" w:firstLine="1"/>
                    <w:rPr>
                      <w:rFonts w:ascii="Times New Roman" w:hAnsi="Times New Roman" w:cs="Times New Roman"/>
                      <w:sz w:val="21"/>
                      <w:szCs w:val="21"/>
                    </w:rPr>
                  </w:pPr>
                  <w:r>
                    <w:rPr>
                      <w:rFonts w:ascii="Times New Roman" w:hAnsi="Times New Roman" w:cs="Times New Roman"/>
                      <w:spacing w:val="18"/>
                      <w:sz w:val="21"/>
                      <w:szCs w:val="21"/>
                    </w:rPr>
                    <w:t>户外变电工程及规划架空进出线选址</w:t>
                  </w:r>
                  <w:r>
                    <w:rPr>
                      <w:rFonts w:ascii="Times New Roman" w:hAnsi="Times New Roman" w:cs="Times New Roman"/>
                      <w:spacing w:val="5"/>
                      <w:sz w:val="21"/>
                      <w:szCs w:val="21"/>
                    </w:rPr>
                    <w:t>选线时，应关注以居住、医疗卫生、文化教育、科研、行政办公等为主要功能的区域，采取综合措施，减少电磁和声</w:t>
                  </w:r>
                  <w:r>
                    <w:rPr>
                      <w:rFonts w:ascii="Times New Roman" w:hAnsi="Times New Roman" w:cs="Times New Roman"/>
                      <w:spacing w:val="15"/>
                      <w:sz w:val="21"/>
                      <w:szCs w:val="21"/>
                    </w:rPr>
                    <w:t xml:space="preserve"> </w:t>
                  </w:r>
                  <w:r>
                    <w:rPr>
                      <w:rFonts w:ascii="Times New Roman" w:hAnsi="Times New Roman" w:cs="Times New Roman"/>
                      <w:spacing w:val="6"/>
                      <w:sz w:val="21"/>
                      <w:szCs w:val="21"/>
                    </w:rPr>
                    <w:t>环境影响。</w:t>
                  </w:r>
                </w:p>
              </w:tc>
              <w:tc>
                <w:tcPr>
                  <w:tcW w:w="1717" w:type="pct"/>
                  <w:gridSpan w:val="3"/>
                  <w:tcBorders>
                    <w:left w:val="single" w:color="auto" w:sz="4" w:space="0"/>
                  </w:tcBorders>
                  <w:vAlign w:val="center"/>
                </w:tcPr>
                <w:p w14:paraId="0F2B52B9">
                  <w:pPr>
                    <w:pStyle w:val="30"/>
                    <w:spacing w:before="225" w:line="244" w:lineRule="auto"/>
                    <w:ind w:left="66" w:right="85" w:hanging="2"/>
                    <w:rPr>
                      <w:rFonts w:ascii="Times New Roman" w:hAnsi="Times New Roman" w:cs="Times New Roman"/>
                      <w:sz w:val="21"/>
                      <w:szCs w:val="21"/>
                    </w:rPr>
                  </w:pPr>
                  <w:r>
                    <w:rPr>
                      <w:rFonts w:ascii="Times New Roman" w:hAnsi="Times New Roman" w:cs="Times New Roman"/>
                      <w:spacing w:val="12"/>
                      <w:sz w:val="21"/>
                      <w:szCs w:val="21"/>
                    </w:rPr>
                    <w:t>本项目新建线路不涉及居住、医疗卫生、文化教育、科研、</w:t>
                  </w:r>
                  <w:r>
                    <w:rPr>
                      <w:rFonts w:ascii="Times New Roman" w:hAnsi="Times New Roman" w:cs="Times New Roman"/>
                      <w:spacing w:val="7"/>
                      <w:sz w:val="21"/>
                      <w:szCs w:val="21"/>
                    </w:rPr>
                    <w:t>行政办公等功能的区域。</w:t>
                  </w:r>
                </w:p>
              </w:tc>
              <w:tc>
                <w:tcPr>
                  <w:tcW w:w="670" w:type="pct"/>
                  <w:tcBorders>
                    <w:right w:val="single" w:color="000000" w:sz="6" w:space="0"/>
                  </w:tcBorders>
                  <w:vAlign w:val="center"/>
                </w:tcPr>
                <w:p w14:paraId="306FB27B">
                  <w:pPr>
                    <w:pStyle w:val="30"/>
                    <w:spacing w:before="198" w:line="215" w:lineRule="auto"/>
                    <w:jc w:val="center"/>
                    <w:rPr>
                      <w:rFonts w:ascii="Times New Roman" w:hAnsi="Times New Roman" w:cs="Times New Roman"/>
                      <w:sz w:val="21"/>
                      <w:szCs w:val="21"/>
                    </w:rPr>
                  </w:pPr>
                  <w:r>
                    <w:rPr>
                      <w:rFonts w:ascii="Times New Roman" w:hAnsi="Times New Roman" w:cs="Times New Roman"/>
                      <w:spacing w:val="7"/>
                      <w:sz w:val="21"/>
                      <w:szCs w:val="21"/>
                      <w:lang w:eastAsia="zh-CN"/>
                    </w:rPr>
                    <w:t>符合</w:t>
                  </w:r>
                </w:p>
              </w:tc>
            </w:tr>
            <w:tr w14:paraId="5A195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jc w:val="center"/>
              </w:trPr>
              <w:tc>
                <w:tcPr>
                  <w:tcW w:w="378" w:type="pct"/>
                  <w:vMerge w:val="continue"/>
                  <w:tcBorders>
                    <w:top w:val="nil"/>
                    <w:left w:val="single" w:color="auto" w:sz="4" w:space="0"/>
                    <w:bottom w:val="single" w:color="auto" w:sz="4" w:space="0"/>
                  </w:tcBorders>
                  <w:textDirection w:val="tbRlV"/>
                  <w:vAlign w:val="center"/>
                </w:tcPr>
                <w:p w14:paraId="0C1BF547">
                  <w:pPr>
                    <w:rPr>
                      <w:szCs w:val="21"/>
                    </w:rPr>
                  </w:pPr>
                </w:p>
              </w:tc>
              <w:tc>
                <w:tcPr>
                  <w:tcW w:w="2234" w:type="pct"/>
                  <w:gridSpan w:val="3"/>
                  <w:tcBorders>
                    <w:bottom w:val="single" w:color="auto" w:sz="4" w:space="0"/>
                    <w:right w:val="single" w:color="auto" w:sz="4" w:space="0"/>
                  </w:tcBorders>
                  <w:vAlign w:val="center"/>
                </w:tcPr>
                <w:p w14:paraId="2345DE70">
                  <w:pPr>
                    <w:pStyle w:val="30"/>
                    <w:spacing w:before="36" w:line="278" w:lineRule="auto"/>
                    <w:ind w:left="58" w:right="54"/>
                    <w:rPr>
                      <w:rFonts w:ascii="Times New Roman" w:hAnsi="Times New Roman" w:cs="Times New Roman"/>
                      <w:sz w:val="21"/>
                      <w:szCs w:val="21"/>
                    </w:rPr>
                  </w:pPr>
                  <w:r>
                    <w:rPr>
                      <w:rFonts w:ascii="Times New Roman" w:hAnsi="Times New Roman" w:cs="Times New Roman"/>
                      <w:spacing w:val="5"/>
                      <w:sz w:val="21"/>
                      <w:szCs w:val="21"/>
                    </w:rPr>
                    <w:t>输电线路宜避让集中林区，以减少林木</w:t>
                  </w:r>
                  <w:r>
                    <w:rPr>
                      <w:rFonts w:ascii="Times New Roman" w:hAnsi="Times New Roman" w:cs="Times New Roman"/>
                      <w:spacing w:val="8"/>
                      <w:sz w:val="21"/>
                      <w:szCs w:val="21"/>
                    </w:rPr>
                    <w:t>砍伐，保护生态环境。</w:t>
                  </w:r>
                </w:p>
              </w:tc>
              <w:tc>
                <w:tcPr>
                  <w:tcW w:w="1717" w:type="pct"/>
                  <w:gridSpan w:val="3"/>
                  <w:tcBorders>
                    <w:left w:val="single" w:color="auto" w:sz="4" w:space="0"/>
                  </w:tcBorders>
                  <w:vAlign w:val="center"/>
                </w:tcPr>
                <w:p w14:paraId="7700B900">
                  <w:pPr>
                    <w:pStyle w:val="30"/>
                    <w:spacing w:before="195" w:line="227" w:lineRule="auto"/>
                    <w:rPr>
                      <w:rFonts w:ascii="Times New Roman" w:hAnsi="Times New Roman" w:cs="Times New Roman"/>
                      <w:sz w:val="21"/>
                      <w:szCs w:val="21"/>
                    </w:rPr>
                  </w:pPr>
                  <w:r>
                    <w:rPr>
                      <w:rFonts w:ascii="Times New Roman" w:hAnsi="Times New Roman" w:cs="Times New Roman"/>
                      <w:spacing w:val="7"/>
                      <w:sz w:val="21"/>
                      <w:szCs w:val="21"/>
                      <w:lang w:eastAsia="zh-CN"/>
                    </w:rPr>
                    <w:t>本项目线路不涉及集中林区。</w:t>
                  </w:r>
                </w:p>
              </w:tc>
              <w:tc>
                <w:tcPr>
                  <w:tcW w:w="670" w:type="pct"/>
                  <w:tcBorders>
                    <w:right w:val="single" w:color="000000" w:sz="6" w:space="0"/>
                  </w:tcBorders>
                  <w:vAlign w:val="center"/>
                </w:tcPr>
                <w:p w14:paraId="7FD9BA61">
                  <w:pPr>
                    <w:pStyle w:val="30"/>
                    <w:spacing w:before="198" w:line="215" w:lineRule="auto"/>
                    <w:ind w:left="37"/>
                    <w:jc w:val="center"/>
                    <w:rPr>
                      <w:rFonts w:ascii="Times New Roman" w:hAnsi="Times New Roman" w:cs="Times New Roman"/>
                      <w:sz w:val="21"/>
                      <w:szCs w:val="21"/>
                    </w:rPr>
                  </w:pPr>
                  <w:r>
                    <w:rPr>
                      <w:rFonts w:ascii="Times New Roman" w:hAnsi="Times New Roman" w:cs="Times New Roman"/>
                      <w:spacing w:val="8"/>
                      <w:sz w:val="21"/>
                      <w:szCs w:val="21"/>
                    </w:rPr>
                    <w:t>符合</w:t>
                  </w:r>
                </w:p>
              </w:tc>
            </w:tr>
            <w:tr w14:paraId="3BB0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jc w:val="center"/>
              </w:trPr>
              <w:tc>
                <w:tcPr>
                  <w:tcW w:w="378" w:type="pct"/>
                  <w:tcBorders>
                    <w:top w:val="single" w:color="auto" w:sz="4" w:space="0"/>
                    <w:left w:val="single" w:color="auto" w:sz="4" w:space="0"/>
                    <w:bottom w:val="nil"/>
                    <w:right w:val="single" w:color="auto" w:sz="4" w:space="0"/>
                  </w:tcBorders>
                  <w:textDirection w:val="tbRlV"/>
                  <w:vAlign w:val="center"/>
                </w:tcPr>
                <w:p w14:paraId="76569FF9">
                  <w:pPr>
                    <w:rPr>
                      <w:szCs w:val="21"/>
                    </w:rPr>
                  </w:pPr>
                </w:p>
              </w:tc>
              <w:tc>
                <w:tcPr>
                  <w:tcW w:w="687" w:type="pct"/>
                  <w:vMerge w:val="restart"/>
                  <w:tcBorders>
                    <w:top w:val="single" w:color="auto" w:sz="4" w:space="0"/>
                    <w:left w:val="single" w:color="auto" w:sz="4" w:space="0"/>
                  </w:tcBorders>
                  <w:vAlign w:val="center"/>
                </w:tcPr>
                <w:p w14:paraId="382EA8D6">
                  <w:pPr>
                    <w:pStyle w:val="30"/>
                    <w:spacing w:before="198" w:line="215" w:lineRule="auto"/>
                    <w:ind w:left="37"/>
                    <w:jc w:val="center"/>
                    <w:rPr>
                      <w:rFonts w:ascii="Times New Roman" w:hAnsi="Times New Roman" w:cs="Times New Roman"/>
                      <w:spacing w:val="5"/>
                      <w:sz w:val="21"/>
                      <w:szCs w:val="21"/>
                    </w:rPr>
                  </w:pPr>
                  <w:r>
                    <w:rPr>
                      <w:rFonts w:ascii="Times New Roman" w:hAnsi="Times New Roman" w:cs="Times New Roman"/>
                      <w:spacing w:val="4"/>
                      <w:sz w:val="21"/>
                      <w:szCs w:val="21"/>
                    </w:rPr>
                    <w:t>电磁</w:t>
                  </w:r>
                  <w:r>
                    <w:rPr>
                      <w:rFonts w:ascii="Times New Roman" w:hAnsi="Times New Roman" w:cs="Times New Roman"/>
                      <w:spacing w:val="16"/>
                      <w:sz w:val="21"/>
                      <w:szCs w:val="21"/>
                    </w:rPr>
                    <w:t>环境</w:t>
                  </w:r>
                  <w:r>
                    <w:rPr>
                      <w:rFonts w:ascii="Times New Roman" w:hAnsi="Times New Roman" w:cs="Times New Roman"/>
                      <w:spacing w:val="4"/>
                      <w:sz w:val="21"/>
                      <w:szCs w:val="21"/>
                    </w:rPr>
                    <w:t>保护</w:t>
                  </w:r>
                </w:p>
              </w:tc>
              <w:tc>
                <w:tcPr>
                  <w:tcW w:w="1622" w:type="pct"/>
                  <w:gridSpan w:val="3"/>
                  <w:vAlign w:val="center"/>
                </w:tcPr>
                <w:p w14:paraId="7415D536">
                  <w:pPr>
                    <w:pStyle w:val="30"/>
                    <w:spacing w:before="196" w:line="284" w:lineRule="auto"/>
                    <w:ind w:left="58" w:right="54"/>
                    <w:rPr>
                      <w:rFonts w:ascii="Times New Roman" w:hAnsi="Times New Roman" w:cs="Times New Roman"/>
                      <w:spacing w:val="7"/>
                      <w:sz w:val="21"/>
                      <w:szCs w:val="21"/>
                      <w:lang w:eastAsia="zh-CN"/>
                    </w:rPr>
                  </w:pPr>
                  <w:r>
                    <w:rPr>
                      <w:rFonts w:ascii="Times New Roman" w:hAnsi="Times New Roman" w:cs="Times New Roman"/>
                      <w:spacing w:val="10"/>
                      <w:sz w:val="21"/>
                      <w:szCs w:val="21"/>
                    </w:rPr>
                    <w:t>输电线路设计应因地制宜选择线路型式、架设高度、杆塔塔型、导线参数、相序布置等，减少电</w:t>
                  </w:r>
                  <w:r>
                    <w:rPr>
                      <w:rFonts w:ascii="Times New Roman" w:hAnsi="Times New Roman" w:cs="Times New Roman"/>
                      <w:spacing w:val="6"/>
                      <w:sz w:val="21"/>
                      <w:szCs w:val="21"/>
                    </w:rPr>
                    <w:t>磁环境影响。</w:t>
                  </w:r>
                </w:p>
              </w:tc>
              <w:tc>
                <w:tcPr>
                  <w:tcW w:w="1640" w:type="pct"/>
                  <w:gridSpan w:val="2"/>
                  <w:tcBorders>
                    <w:right w:val="single" w:color="000000" w:sz="6" w:space="0"/>
                  </w:tcBorders>
                  <w:vAlign w:val="center"/>
                </w:tcPr>
                <w:p w14:paraId="4C004C17">
                  <w:pPr>
                    <w:pStyle w:val="30"/>
                    <w:spacing w:before="41" w:line="285" w:lineRule="auto"/>
                    <w:ind w:left="62" w:right="50" w:firstLine="1"/>
                    <w:rPr>
                      <w:rFonts w:ascii="Times New Roman" w:hAnsi="Times New Roman" w:cs="Times New Roman"/>
                      <w:spacing w:val="8"/>
                      <w:sz w:val="21"/>
                      <w:szCs w:val="21"/>
                    </w:rPr>
                  </w:pPr>
                  <w:r>
                    <w:rPr>
                      <w:rFonts w:ascii="Times New Roman" w:hAnsi="Times New Roman" w:cs="Times New Roman"/>
                      <w:spacing w:val="15"/>
                      <w:sz w:val="21"/>
                      <w:szCs w:val="21"/>
                    </w:rPr>
                    <w:t>本项目设计阶段即选取适宜的</w:t>
                  </w:r>
                  <w:r>
                    <w:rPr>
                      <w:rFonts w:ascii="Times New Roman" w:hAnsi="Times New Roman" w:cs="Times New Roman"/>
                      <w:spacing w:val="11"/>
                      <w:sz w:val="21"/>
                      <w:szCs w:val="21"/>
                    </w:rPr>
                    <w:t>杆塔，</w:t>
                  </w:r>
                  <w:r>
                    <w:rPr>
                      <w:rFonts w:ascii="Times New Roman" w:hAnsi="Times New Roman" w:cs="Times New Roman"/>
                      <w:spacing w:val="-44"/>
                      <w:sz w:val="21"/>
                      <w:szCs w:val="21"/>
                    </w:rPr>
                    <w:t xml:space="preserve"> </w:t>
                  </w:r>
                  <w:r>
                    <w:rPr>
                      <w:rFonts w:ascii="Times New Roman" w:hAnsi="Times New Roman" w:cs="Times New Roman"/>
                      <w:spacing w:val="11"/>
                      <w:sz w:val="21"/>
                      <w:szCs w:val="21"/>
                    </w:rPr>
                    <w:t>以减少电磁环境影响。</w:t>
                  </w:r>
                  <w:r>
                    <w:rPr>
                      <w:rFonts w:ascii="Times New Roman" w:hAnsi="Times New Roman" w:cs="Times New Roman"/>
                      <w:spacing w:val="15"/>
                      <w:sz w:val="21"/>
                      <w:szCs w:val="21"/>
                    </w:rPr>
                    <w:t>输电线路型式、架设高度、杆塔塔型、导线参数、相序布置</w:t>
                  </w:r>
                  <w:r>
                    <w:rPr>
                      <w:rFonts w:ascii="Times New Roman" w:hAnsi="Times New Roman" w:cs="Times New Roman"/>
                      <w:spacing w:val="7"/>
                      <w:sz w:val="21"/>
                      <w:szCs w:val="21"/>
                    </w:rPr>
                    <w:t>等均满足相关要求。</w:t>
                  </w:r>
                </w:p>
              </w:tc>
              <w:tc>
                <w:tcPr>
                  <w:tcW w:w="670" w:type="pct"/>
                  <w:tcBorders>
                    <w:top w:val="single" w:color="auto" w:sz="4" w:space="0"/>
                    <w:left w:val="single" w:color="auto" w:sz="4" w:space="0"/>
                  </w:tcBorders>
                  <w:vAlign w:val="center"/>
                </w:tcPr>
                <w:p w14:paraId="58999E96">
                  <w:pPr>
                    <w:pStyle w:val="30"/>
                    <w:spacing w:before="198" w:line="215" w:lineRule="auto"/>
                    <w:ind w:left="37"/>
                    <w:jc w:val="center"/>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符合</w:t>
                  </w:r>
                </w:p>
              </w:tc>
            </w:tr>
            <w:tr w14:paraId="13FF4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78" w:type="pct"/>
                  <w:tcBorders>
                    <w:top w:val="nil"/>
                    <w:left w:val="single" w:color="auto" w:sz="4" w:space="0"/>
                    <w:bottom w:val="nil"/>
                    <w:right w:val="single" w:color="auto" w:sz="4" w:space="0"/>
                  </w:tcBorders>
                  <w:vAlign w:val="center"/>
                </w:tcPr>
                <w:p w14:paraId="2E5058F8">
                  <w:pPr>
                    <w:jc w:val="center"/>
                    <w:rPr>
                      <w:szCs w:val="21"/>
                    </w:rPr>
                  </w:pPr>
                  <w:r>
                    <w:rPr>
                      <w:szCs w:val="21"/>
                    </w:rPr>
                    <w:t>设计</w:t>
                  </w:r>
                </w:p>
              </w:tc>
              <w:tc>
                <w:tcPr>
                  <w:tcW w:w="687" w:type="pct"/>
                  <w:vMerge w:val="continue"/>
                  <w:tcBorders>
                    <w:left w:val="single" w:color="auto" w:sz="4" w:space="0"/>
                  </w:tcBorders>
                  <w:vAlign w:val="center"/>
                </w:tcPr>
                <w:p w14:paraId="7BE33B84">
                  <w:pPr>
                    <w:pStyle w:val="30"/>
                    <w:spacing w:before="198" w:line="215" w:lineRule="auto"/>
                    <w:ind w:left="37"/>
                    <w:jc w:val="center"/>
                    <w:rPr>
                      <w:rFonts w:ascii="Times New Roman" w:hAnsi="Times New Roman" w:cs="Times New Roman"/>
                      <w:spacing w:val="5"/>
                      <w:sz w:val="21"/>
                      <w:szCs w:val="21"/>
                    </w:rPr>
                  </w:pPr>
                </w:p>
              </w:tc>
              <w:tc>
                <w:tcPr>
                  <w:tcW w:w="1622" w:type="pct"/>
                  <w:gridSpan w:val="3"/>
                  <w:vAlign w:val="center"/>
                </w:tcPr>
                <w:p w14:paraId="14E6BA52">
                  <w:pPr>
                    <w:pStyle w:val="30"/>
                    <w:spacing w:before="65" w:line="284" w:lineRule="auto"/>
                    <w:ind w:right="54"/>
                    <w:rPr>
                      <w:rFonts w:ascii="Times New Roman" w:hAnsi="Times New Roman" w:cs="Times New Roman"/>
                      <w:spacing w:val="7"/>
                      <w:sz w:val="21"/>
                      <w:szCs w:val="21"/>
                      <w:lang w:eastAsia="zh-CN"/>
                    </w:rPr>
                  </w:pPr>
                  <w:r>
                    <w:rPr>
                      <w:rFonts w:ascii="Times New Roman" w:hAnsi="Times New Roman" w:cs="Times New Roman"/>
                      <w:spacing w:val="10"/>
                      <w:sz w:val="21"/>
                      <w:szCs w:val="21"/>
                    </w:rPr>
                    <w:t>架空输电线路经过电磁环境敏感目标时，应采取避让或增加导线对地高度等措施，减少电磁环境</w:t>
                  </w:r>
                  <w:r>
                    <w:rPr>
                      <w:rFonts w:ascii="Times New Roman" w:hAnsi="Times New Roman" w:cs="Times New Roman"/>
                      <w:spacing w:val="3"/>
                      <w:sz w:val="21"/>
                      <w:szCs w:val="21"/>
                    </w:rPr>
                    <w:t>影响。</w:t>
                  </w:r>
                </w:p>
              </w:tc>
              <w:tc>
                <w:tcPr>
                  <w:tcW w:w="1640" w:type="pct"/>
                  <w:gridSpan w:val="2"/>
                  <w:tcBorders>
                    <w:right w:val="single" w:color="000000" w:sz="6" w:space="0"/>
                  </w:tcBorders>
                  <w:vAlign w:val="center"/>
                </w:tcPr>
                <w:p w14:paraId="6EB845AB">
                  <w:pPr>
                    <w:widowControl/>
                    <w:jc w:val="left"/>
                    <w:rPr>
                      <w:spacing w:val="10"/>
                      <w:szCs w:val="21"/>
                      <w:lang w:eastAsia="en-US"/>
                    </w:rPr>
                  </w:pPr>
                  <w:r>
                    <w:rPr>
                      <w:spacing w:val="10"/>
                      <w:szCs w:val="21"/>
                    </w:rPr>
                    <w:t>本工程输电线路沿线不涉及敏感区及自然保护区，区域现状为戈壁，线路沿线不涉及敏感目标。</w:t>
                  </w:r>
                </w:p>
                <w:p w14:paraId="1AB96E03">
                  <w:pPr>
                    <w:pStyle w:val="30"/>
                    <w:spacing w:before="45" w:line="286" w:lineRule="auto"/>
                    <w:ind w:left="62" w:right="48" w:firstLine="1"/>
                    <w:rPr>
                      <w:rFonts w:ascii="Times New Roman" w:hAnsi="Times New Roman" w:cs="Times New Roman"/>
                      <w:spacing w:val="8"/>
                      <w:sz w:val="21"/>
                      <w:szCs w:val="21"/>
                    </w:rPr>
                  </w:pPr>
                </w:p>
              </w:tc>
              <w:tc>
                <w:tcPr>
                  <w:tcW w:w="670" w:type="pct"/>
                  <w:tcBorders>
                    <w:left w:val="single" w:color="auto" w:sz="4" w:space="0"/>
                  </w:tcBorders>
                  <w:vAlign w:val="center"/>
                </w:tcPr>
                <w:p w14:paraId="4E1B28B4">
                  <w:pPr>
                    <w:spacing w:before="198" w:line="215" w:lineRule="auto"/>
                    <w:ind w:left="37"/>
                    <w:jc w:val="center"/>
                    <w:rPr>
                      <w:spacing w:val="8"/>
                      <w:szCs w:val="21"/>
                    </w:rPr>
                  </w:pPr>
                  <w:r>
                    <w:rPr>
                      <w:spacing w:val="8"/>
                      <w:szCs w:val="21"/>
                    </w:rPr>
                    <w:t>符合</w:t>
                  </w:r>
                </w:p>
              </w:tc>
            </w:tr>
            <w:tr w14:paraId="4F5D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jc w:val="center"/>
              </w:trPr>
              <w:tc>
                <w:tcPr>
                  <w:tcW w:w="378" w:type="pct"/>
                  <w:tcBorders>
                    <w:top w:val="nil"/>
                    <w:left w:val="single" w:color="auto" w:sz="4" w:space="0"/>
                    <w:bottom w:val="single" w:color="auto" w:sz="4" w:space="0"/>
                    <w:right w:val="single" w:color="auto" w:sz="4" w:space="0"/>
                  </w:tcBorders>
                  <w:textDirection w:val="tbRlV"/>
                  <w:vAlign w:val="center"/>
                </w:tcPr>
                <w:p w14:paraId="7B44CA35">
                  <w:pPr>
                    <w:rPr>
                      <w:szCs w:val="21"/>
                    </w:rPr>
                  </w:pPr>
                </w:p>
              </w:tc>
              <w:tc>
                <w:tcPr>
                  <w:tcW w:w="687" w:type="pct"/>
                  <w:tcBorders>
                    <w:left w:val="single" w:color="auto" w:sz="4" w:space="0"/>
                  </w:tcBorders>
                  <w:vAlign w:val="center"/>
                </w:tcPr>
                <w:p w14:paraId="0ECAB9C0">
                  <w:pPr>
                    <w:pStyle w:val="30"/>
                    <w:spacing w:before="198" w:line="215" w:lineRule="auto"/>
                    <w:ind w:left="37"/>
                    <w:jc w:val="center"/>
                    <w:rPr>
                      <w:rFonts w:ascii="Times New Roman" w:hAnsi="Times New Roman" w:cs="Times New Roman"/>
                      <w:spacing w:val="5"/>
                      <w:sz w:val="21"/>
                      <w:szCs w:val="21"/>
                    </w:rPr>
                  </w:pPr>
                  <w:r>
                    <w:rPr>
                      <w:rFonts w:ascii="Times New Roman" w:hAnsi="Times New Roman" w:cs="Times New Roman"/>
                      <w:spacing w:val="4"/>
                      <w:sz w:val="21"/>
                      <w:szCs w:val="21"/>
                      <w:lang w:eastAsia="zh-CN"/>
                    </w:rPr>
                    <w:t>生态</w:t>
                  </w:r>
                  <w:r>
                    <w:rPr>
                      <w:rFonts w:ascii="Times New Roman" w:hAnsi="Times New Roman" w:cs="Times New Roman"/>
                      <w:spacing w:val="16"/>
                      <w:sz w:val="21"/>
                      <w:szCs w:val="21"/>
                    </w:rPr>
                    <w:t>环境</w:t>
                  </w:r>
                  <w:r>
                    <w:rPr>
                      <w:rFonts w:ascii="Times New Roman" w:hAnsi="Times New Roman" w:cs="Times New Roman"/>
                      <w:spacing w:val="4"/>
                      <w:sz w:val="21"/>
                      <w:szCs w:val="21"/>
                    </w:rPr>
                    <w:t>保护</w:t>
                  </w:r>
                </w:p>
              </w:tc>
              <w:tc>
                <w:tcPr>
                  <w:tcW w:w="1622" w:type="pct"/>
                  <w:gridSpan w:val="3"/>
                  <w:vAlign w:val="center"/>
                </w:tcPr>
                <w:p w14:paraId="36E05111">
                  <w:pPr>
                    <w:pStyle w:val="30"/>
                    <w:spacing w:before="44" w:line="287" w:lineRule="auto"/>
                    <w:ind w:left="58" w:right="54"/>
                    <w:rPr>
                      <w:rFonts w:ascii="Times New Roman" w:hAnsi="Times New Roman" w:cs="Times New Roman"/>
                      <w:spacing w:val="7"/>
                      <w:sz w:val="21"/>
                      <w:szCs w:val="21"/>
                      <w:lang w:eastAsia="zh-CN"/>
                    </w:rPr>
                  </w:pPr>
                  <w:r>
                    <w:rPr>
                      <w:rFonts w:ascii="Times New Roman" w:hAnsi="Times New Roman" w:cs="Times New Roman"/>
                      <w:spacing w:val="10"/>
                      <w:sz w:val="21"/>
                      <w:szCs w:val="21"/>
                    </w:rPr>
                    <w:t>输电线路应因地制宜合理选择塔基基础，在山丘区应采用全方位</w:t>
                  </w:r>
                  <w:r>
                    <w:rPr>
                      <w:rFonts w:ascii="Times New Roman" w:hAnsi="Times New Roman" w:cs="Times New Roman"/>
                      <w:spacing w:val="7"/>
                      <w:sz w:val="21"/>
                      <w:szCs w:val="21"/>
                    </w:rPr>
                    <w:t>长短腿与不等高基础设计，</w:t>
                  </w:r>
                  <w:r>
                    <w:rPr>
                      <w:rFonts w:ascii="Times New Roman" w:hAnsi="Times New Roman" w:cs="Times New Roman"/>
                      <w:spacing w:val="-56"/>
                      <w:sz w:val="21"/>
                      <w:szCs w:val="21"/>
                    </w:rPr>
                    <w:t xml:space="preserve"> </w:t>
                  </w:r>
                  <w:r>
                    <w:rPr>
                      <w:rFonts w:ascii="Times New Roman" w:hAnsi="Times New Roman" w:cs="Times New Roman"/>
                      <w:spacing w:val="7"/>
                      <w:sz w:val="21"/>
                      <w:szCs w:val="21"/>
                    </w:rPr>
                    <w:t>以减</w:t>
                  </w:r>
                  <w:r>
                    <w:rPr>
                      <w:rFonts w:ascii="Times New Roman" w:hAnsi="Times New Roman" w:cs="Times New Roman"/>
                      <w:spacing w:val="10"/>
                      <w:sz w:val="21"/>
                      <w:szCs w:val="21"/>
                    </w:rPr>
                    <w:t>少土石方开挖。输电线路无法避让集中林区时，应采取控制导线</w:t>
                  </w:r>
                  <w:r>
                    <w:rPr>
                      <w:rFonts w:ascii="Times New Roman" w:hAnsi="Times New Roman" w:cs="Times New Roman"/>
                      <w:spacing w:val="4"/>
                      <w:sz w:val="21"/>
                      <w:szCs w:val="21"/>
                    </w:rPr>
                    <w:t>高度设计，以减少林木砍伐，</w:t>
                  </w:r>
                  <w:r>
                    <w:rPr>
                      <w:rFonts w:ascii="Times New Roman" w:hAnsi="Times New Roman" w:cs="Times New Roman"/>
                      <w:spacing w:val="-13"/>
                      <w:sz w:val="21"/>
                      <w:szCs w:val="21"/>
                      <w:lang w:eastAsia="zh-CN"/>
                    </w:rPr>
                    <w:t>保护</w:t>
                  </w:r>
                  <w:r>
                    <w:rPr>
                      <w:rFonts w:ascii="Times New Roman" w:hAnsi="Times New Roman" w:cs="Times New Roman"/>
                      <w:spacing w:val="6"/>
                      <w:sz w:val="21"/>
                      <w:szCs w:val="21"/>
                    </w:rPr>
                    <w:t>生态环境。</w:t>
                  </w:r>
                </w:p>
              </w:tc>
              <w:tc>
                <w:tcPr>
                  <w:tcW w:w="1640" w:type="pct"/>
                  <w:gridSpan w:val="2"/>
                  <w:tcBorders>
                    <w:right w:val="single" w:color="000000" w:sz="6" w:space="0"/>
                  </w:tcBorders>
                  <w:vAlign w:val="center"/>
                </w:tcPr>
                <w:p w14:paraId="0B56E405">
                  <w:pPr>
                    <w:spacing w:line="302" w:lineRule="auto"/>
                    <w:rPr>
                      <w:szCs w:val="21"/>
                    </w:rPr>
                  </w:pPr>
                </w:p>
                <w:p w14:paraId="2DA7F869">
                  <w:pPr>
                    <w:spacing w:line="302" w:lineRule="auto"/>
                    <w:rPr>
                      <w:szCs w:val="21"/>
                    </w:rPr>
                  </w:pPr>
                </w:p>
                <w:p w14:paraId="545AC52E">
                  <w:pPr>
                    <w:pStyle w:val="30"/>
                    <w:spacing w:before="65" w:line="282" w:lineRule="auto"/>
                    <w:ind w:left="65" w:right="129" w:hanging="1"/>
                    <w:rPr>
                      <w:rFonts w:ascii="Times New Roman" w:hAnsi="Times New Roman" w:cs="Times New Roman"/>
                      <w:spacing w:val="8"/>
                      <w:sz w:val="21"/>
                      <w:szCs w:val="21"/>
                    </w:rPr>
                  </w:pPr>
                  <w:r>
                    <w:rPr>
                      <w:rFonts w:ascii="Times New Roman" w:hAnsi="Times New Roman" w:cs="Times New Roman"/>
                      <w:spacing w:val="9"/>
                      <w:sz w:val="21"/>
                      <w:szCs w:val="21"/>
                    </w:rPr>
                    <w:t>本项目设计阶段时因地制宜合理选择塔基基础。本项目输电</w:t>
                  </w:r>
                  <w:r>
                    <w:rPr>
                      <w:rFonts w:ascii="Times New Roman" w:hAnsi="Times New Roman" w:cs="Times New Roman"/>
                      <w:spacing w:val="7"/>
                      <w:sz w:val="21"/>
                      <w:szCs w:val="21"/>
                    </w:rPr>
                    <w:t>线路不经过林区。</w:t>
                  </w:r>
                </w:p>
              </w:tc>
              <w:tc>
                <w:tcPr>
                  <w:tcW w:w="670" w:type="pct"/>
                  <w:tcBorders>
                    <w:left w:val="single" w:color="auto" w:sz="4" w:space="0"/>
                  </w:tcBorders>
                  <w:vAlign w:val="center"/>
                </w:tcPr>
                <w:p w14:paraId="2C6C02D1">
                  <w:pPr>
                    <w:spacing w:before="198" w:line="215" w:lineRule="auto"/>
                    <w:ind w:left="37"/>
                    <w:jc w:val="center"/>
                    <w:rPr>
                      <w:spacing w:val="8"/>
                      <w:szCs w:val="21"/>
                    </w:rPr>
                  </w:pPr>
                  <w:r>
                    <w:rPr>
                      <w:spacing w:val="8"/>
                      <w:szCs w:val="21"/>
                    </w:rPr>
                    <w:t>符合</w:t>
                  </w:r>
                </w:p>
              </w:tc>
            </w:tr>
            <w:tr w14:paraId="29178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78" w:type="pct"/>
                  <w:tcBorders>
                    <w:top w:val="single" w:color="auto" w:sz="4" w:space="0"/>
                    <w:bottom w:val="single" w:color="auto" w:sz="4" w:space="0"/>
                  </w:tcBorders>
                  <w:textDirection w:val="tbRlV"/>
                  <w:vAlign w:val="center"/>
                </w:tcPr>
                <w:p w14:paraId="64ECC7D9">
                  <w:pPr>
                    <w:rPr>
                      <w:szCs w:val="21"/>
                    </w:rPr>
                  </w:pPr>
                </w:p>
              </w:tc>
              <w:tc>
                <w:tcPr>
                  <w:tcW w:w="687" w:type="pct"/>
                  <w:tcBorders>
                    <w:bottom w:val="single" w:color="auto" w:sz="4" w:space="0"/>
                  </w:tcBorders>
                  <w:shd w:val="clear" w:color="auto" w:fill="auto"/>
                  <w:vAlign w:val="center"/>
                </w:tcPr>
                <w:p w14:paraId="507CD9C2">
                  <w:pPr>
                    <w:spacing w:line="276" w:lineRule="auto"/>
                    <w:rPr>
                      <w:szCs w:val="21"/>
                    </w:rPr>
                  </w:pPr>
                </w:p>
                <w:p w14:paraId="31BF8389">
                  <w:pPr>
                    <w:spacing w:line="276" w:lineRule="auto"/>
                    <w:rPr>
                      <w:szCs w:val="21"/>
                    </w:rPr>
                  </w:pPr>
                </w:p>
                <w:p w14:paraId="0BC810B0">
                  <w:pPr>
                    <w:spacing w:line="277" w:lineRule="auto"/>
                    <w:rPr>
                      <w:szCs w:val="21"/>
                    </w:rPr>
                  </w:pPr>
                </w:p>
                <w:p w14:paraId="13FB15F1">
                  <w:pPr>
                    <w:pStyle w:val="30"/>
                    <w:spacing w:before="65" w:line="239" w:lineRule="auto"/>
                    <w:ind w:left="72" w:right="70" w:firstLine="4"/>
                    <w:rPr>
                      <w:rFonts w:ascii="Times New Roman" w:hAnsi="Times New Roman" w:cs="Times New Roman"/>
                      <w:sz w:val="21"/>
                      <w:szCs w:val="21"/>
                    </w:rPr>
                  </w:pPr>
                  <w:r>
                    <w:rPr>
                      <w:rFonts w:ascii="Times New Roman" w:hAnsi="Times New Roman" w:cs="Times New Roman"/>
                      <w:spacing w:val="2"/>
                      <w:sz w:val="21"/>
                      <w:szCs w:val="21"/>
                    </w:rPr>
                    <w:t>总体</w:t>
                  </w:r>
                  <w:r>
                    <w:rPr>
                      <w:rFonts w:ascii="Times New Roman" w:hAnsi="Times New Roman" w:cs="Times New Roman"/>
                      <w:spacing w:val="4"/>
                      <w:sz w:val="21"/>
                      <w:szCs w:val="21"/>
                    </w:rPr>
                    <w:t>要求</w:t>
                  </w:r>
                </w:p>
              </w:tc>
              <w:tc>
                <w:tcPr>
                  <w:tcW w:w="1622" w:type="pct"/>
                  <w:gridSpan w:val="3"/>
                  <w:shd w:val="clear" w:color="auto" w:fill="auto"/>
                  <w:vAlign w:val="center"/>
                </w:tcPr>
                <w:p w14:paraId="49F73080">
                  <w:pPr>
                    <w:pStyle w:val="30"/>
                    <w:spacing w:before="85" w:line="248" w:lineRule="auto"/>
                    <w:ind w:left="58" w:right="54"/>
                    <w:rPr>
                      <w:rFonts w:ascii="Times New Roman" w:hAnsi="Times New Roman" w:cs="Times New Roman"/>
                      <w:sz w:val="21"/>
                      <w:szCs w:val="21"/>
                      <w:lang w:eastAsia="zh-CN"/>
                    </w:rPr>
                  </w:pPr>
                  <w:r>
                    <w:rPr>
                      <w:rFonts w:ascii="Times New Roman" w:hAnsi="Times New Roman" w:cs="Times New Roman"/>
                      <w:spacing w:val="10"/>
                      <w:sz w:val="21"/>
                      <w:szCs w:val="2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w:t>
                  </w:r>
                  <w:r>
                    <w:rPr>
                      <w:rFonts w:ascii="Times New Roman" w:hAnsi="Times New Roman" w:cs="Times New Roman"/>
                      <w:spacing w:val="3"/>
                      <w:sz w:val="21"/>
                      <w:szCs w:val="21"/>
                    </w:rPr>
                    <w:t xml:space="preserve"> </w:t>
                  </w:r>
                  <w:r>
                    <w:rPr>
                      <w:rFonts w:ascii="Times New Roman" w:hAnsi="Times New Roman" w:cs="Times New Roman"/>
                      <w:spacing w:val="8"/>
                      <w:sz w:val="21"/>
                      <w:szCs w:val="21"/>
                    </w:rPr>
                    <w:t>议书、相关标准的要求。</w:t>
                  </w:r>
                </w:p>
              </w:tc>
              <w:tc>
                <w:tcPr>
                  <w:tcW w:w="1640" w:type="pct"/>
                  <w:gridSpan w:val="2"/>
                  <w:tcBorders>
                    <w:right w:val="single" w:color="000000" w:sz="6" w:space="0"/>
                  </w:tcBorders>
                  <w:shd w:val="clear" w:color="auto" w:fill="auto"/>
                  <w:vAlign w:val="center"/>
                </w:tcPr>
                <w:p w14:paraId="3ACD8858">
                  <w:pPr>
                    <w:spacing w:line="290" w:lineRule="auto"/>
                    <w:rPr>
                      <w:szCs w:val="21"/>
                    </w:rPr>
                  </w:pPr>
                </w:p>
                <w:p w14:paraId="46D0486B">
                  <w:pPr>
                    <w:pStyle w:val="30"/>
                    <w:spacing w:before="65" w:line="247" w:lineRule="auto"/>
                    <w:ind w:left="63" w:right="129"/>
                    <w:rPr>
                      <w:rFonts w:ascii="Times New Roman" w:hAnsi="Times New Roman" w:cs="Times New Roman"/>
                      <w:sz w:val="21"/>
                      <w:szCs w:val="21"/>
                    </w:rPr>
                  </w:pPr>
                  <w:r>
                    <w:rPr>
                      <w:rFonts w:ascii="Times New Roman" w:hAnsi="Times New Roman" w:cs="Times New Roman"/>
                      <w:spacing w:val="9"/>
                      <w:sz w:val="21"/>
                      <w:szCs w:val="21"/>
                    </w:rPr>
                    <w:t>本环评要求在项目施工过程中应落实施工设计文件、环境影响评价文件及其审批部门审批决定中提出的环境保护要求，并按照审批部门的文件做好施</w:t>
                  </w:r>
                  <w:r>
                    <w:rPr>
                      <w:rFonts w:ascii="Times New Roman" w:hAnsi="Times New Roman" w:cs="Times New Roman"/>
                      <w:spacing w:val="8"/>
                      <w:sz w:val="21"/>
                      <w:szCs w:val="21"/>
                    </w:rPr>
                    <w:t>工期的环境保护要求。</w:t>
                  </w:r>
                </w:p>
              </w:tc>
              <w:tc>
                <w:tcPr>
                  <w:tcW w:w="670" w:type="pct"/>
                  <w:shd w:val="clear" w:color="auto" w:fill="auto"/>
                  <w:vAlign w:val="center"/>
                </w:tcPr>
                <w:p w14:paraId="04CCCA18">
                  <w:pPr>
                    <w:pStyle w:val="30"/>
                    <w:spacing w:before="198" w:line="215"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符合</w:t>
                  </w:r>
                </w:p>
              </w:tc>
            </w:tr>
            <w:tr w14:paraId="17880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78" w:type="pct"/>
                  <w:tcBorders>
                    <w:top w:val="single" w:color="auto" w:sz="4" w:space="0"/>
                    <w:left w:val="single" w:color="auto" w:sz="4" w:space="0"/>
                    <w:bottom w:val="nil"/>
                  </w:tcBorders>
                  <w:vAlign w:val="center"/>
                </w:tcPr>
                <w:p w14:paraId="0B109322">
                  <w:pPr>
                    <w:rPr>
                      <w:szCs w:val="21"/>
                    </w:rPr>
                  </w:pPr>
                  <w:r>
                    <w:rPr>
                      <w:szCs w:val="21"/>
                    </w:rPr>
                    <w:t>施工</w:t>
                  </w:r>
                </w:p>
              </w:tc>
              <w:tc>
                <w:tcPr>
                  <w:tcW w:w="687" w:type="pct"/>
                  <w:tcBorders>
                    <w:top w:val="single" w:color="auto" w:sz="4" w:space="0"/>
                    <w:right w:val="single" w:color="auto" w:sz="4" w:space="0"/>
                  </w:tcBorders>
                  <w:shd w:val="clear" w:color="auto" w:fill="auto"/>
                  <w:vAlign w:val="center"/>
                </w:tcPr>
                <w:p w14:paraId="4D3A5EF9">
                  <w:pPr>
                    <w:spacing w:line="373" w:lineRule="auto"/>
                    <w:jc w:val="center"/>
                    <w:rPr>
                      <w:szCs w:val="21"/>
                    </w:rPr>
                  </w:pPr>
                </w:p>
                <w:p w14:paraId="647F7BD4">
                  <w:pPr>
                    <w:pStyle w:val="30"/>
                    <w:spacing w:before="65" w:line="244" w:lineRule="auto"/>
                    <w:ind w:left="71" w:right="70" w:firstLine="1"/>
                    <w:jc w:val="center"/>
                    <w:rPr>
                      <w:rFonts w:ascii="Times New Roman" w:hAnsi="Times New Roman" w:cs="Times New Roman"/>
                      <w:sz w:val="21"/>
                      <w:szCs w:val="21"/>
                    </w:rPr>
                  </w:pPr>
                  <w:r>
                    <w:rPr>
                      <w:rFonts w:ascii="Times New Roman" w:hAnsi="Times New Roman" w:cs="Times New Roman"/>
                      <w:spacing w:val="3"/>
                      <w:sz w:val="21"/>
                      <w:szCs w:val="21"/>
                    </w:rPr>
                    <w:t>生态</w:t>
                  </w:r>
                  <w:r>
                    <w:rPr>
                      <w:rFonts w:ascii="Times New Roman" w:hAnsi="Times New Roman" w:cs="Times New Roman"/>
                      <w:spacing w:val="4"/>
                      <w:sz w:val="21"/>
                      <w:szCs w:val="21"/>
                    </w:rPr>
                    <w:t>环境保护</w:t>
                  </w:r>
                </w:p>
              </w:tc>
              <w:tc>
                <w:tcPr>
                  <w:tcW w:w="1622" w:type="pct"/>
                  <w:gridSpan w:val="3"/>
                  <w:tcBorders>
                    <w:left w:val="single" w:color="auto" w:sz="4" w:space="0"/>
                  </w:tcBorders>
                  <w:shd w:val="clear" w:color="auto" w:fill="auto"/>
                  <w:vAlign w:val="center"/>
                </w:tcPr>
                <w:p w14:paraId="5FF106A2">
                  <w:pPr>
                    <w:pStyle w:val="30"/>
                    <w:spacing w:before="35" w:line="247" w:lineRule="auto"/>
                    <w:ind w:left="58"/>
                    <w:rPr>
                      <w:rFonts w:ascii="Times New Roman" w:hAnsi="Times New Roman" w:cs="Times New Roman"/>
                      <w:sz w:val="21"/>
                      <w:szCs w:val="21"/>
                      <w:lang w:eastAsia="zh-CN"/>
                    </w:rPr>
                  </w:pPr>
                  <w:r>
                    <w:rPr>
                      <w:rFonts w:ascii="Times New Roman" w:hAnsi="Times New Roman" w:cs="Times New Roman"/>
                      <w:spacing w:val="25"/>
                      <w:sz w:val="21"/>
                      <w:szCs w:val="21"/>
                    </w:rPr>
                    <w:t>施工现场使用带油料的机械器</w:t>
                  </w:r>
                  <w:r>
                    <w:rPr>
                      <w:rFonts w:ascii="Times New Roman" w:hAnsi="Times New Roman" w:cs="Times New Roman"/>
                      <w:spacing w:val="-1"/>
                      <w:sz w:val="21"/>
                      <w:szCs w:val="21"/>
                    </w:rPr>
                    <w:t>具，应采取措施防止油料跑、冒</w:t>
                  </w:r>
                  <w:r>
                    <w:rPr>
                      <w:rFonts w:ascii="Times New Roman" w:hAnsi="Times New Roman" w:cs="Times New Roman"/>
                      <w:spacing w:val="-1"/>
                      <w:sz w:val="21"/>
                      <w:szCs w:val="21"/>
                      <w:lang w:eastAsia="zh-CN"/>
                    </w:rPr>
                    <w:t>、</w:t>
                  </w:r>
                  <w:r>
                    <w:rPr>
                      <w:rFonts w:ascii="Times New Roman" w:hAnsi="Times New Roman" w:cs="Times New Roman"/>
                      <w:spacing w:val="1"/>
                      <w:sz w:val="21"/>
                      <w:szCs w:val="21"/>
                    </w:rPr>
                    <w:t>滴、漏，防止对土壤和水体造成</w:t>
                  </w:r>
                  <w:r>
                    <w:rPr>
                      <w:rFonts w:ascii="Times New Roman" w:hAnsi="Times New Roman" w:cs="Times New Roman"/>
                      <w:spacing w:val="9"/>
                      <w:sz w:val="21"/>
                      <w:szCs w:val="21"/>
                    </w:rPr>
                    <w:t>污染。施工结束后，应及时清理施工现场，因地制宜进行土地功</w:t>
                  </w:r>
                  <w:r>
                    <w:rPr>
                      <w:rFonts w:ascii="Times New Roman" w:hAnsi="Times New Roman" w:cs="Times New Roman"/>
                      <w:spacing w:val="4"/>
                      <w:sz w:val="21"/>
                      <w:szCs w:val="21"/>
                    </w:rPr>
                    <w:t>能恢复。</w:t>
                  </w:r>
                </w:p>
              </w:tc>
              <w:tc>
                <w:tcPr>
                  <w:tcW w:w="1640" w:type="pct"/>
                  <w:gridSpan w:val="2"/>
                  <w:tcBorders>
                    <w:right w:val="single" w:color="000000" w:sz="6" w:space="0"/>
                  </w:tcBorders>
                  <w:shd w:val="clear" w:color="auto" w:fill="auto"/>
                  <w:vAlign w:val="center"/>
                </w:tcPr>
                <w:p w14:paraId="191BAC56">
                  <w:pPr>
                    <w:pStyle w:val="30"/>
                    <w:spacing w:before="172" w:line="246" w:lineRule="auto"/>
                    <w:ind w:left="64" w:right="129" w:firstLine="2"/>
                    <w:rPr>
                      <w:rFonts w:ascii="Times New Roman" w:hAnsi="Times New Roman" w:cs="Times New Roman"/>
                      <w:sz w:val="21"/>
                      <w:szCs w:val="21"/>
                    </w:rPr>
                  </w:pPr>
                  <w:r>
                    <w:rPr>
                      <w:rFonts w:ascii="Times New Roman" w:hAnsi="Times New Roman" w:cs="Times New Roman"/>
                      <w:spacing w:val="9"/>
                      <w:sz w:val="21"/>
                      <w:szCs w:val="21"/>
                    </w:rPr>
                    <w:t>项目施工期应做好施工机械合理摆放，定期对施工机械进行保养，禁止出现油料跑、冒、滴、漏。施工结束后，及时恢</w:t>
                  </w:r>
                  <w:r>
                    <w:rPr>
                      <w:rFonts w:ascii="Times New Roman" w:hAnsi="Times New Roman" w:cs="Times New Roman"/>
                      <w:spacing w:val="6"/>
                      <w:sz w:val="21"/>
                      <w:szCs w:val="21"/>
                    </w:rPr>
                    <w:t>复施工迹地。</w:t>
                  </w:r>
                </w:p>
              </w:tc>
              <w:tc>
                <w:tcPr>
                  <w:tcW w:w="670" w:type="pct"/>
                  <w:shd w:val="clear" w:color="auto" w:fill="auto"/>
                  <w:vAlign w:val="center"/>
                </w:tcPr>
                <w:p w14:paraId="7F23CE77">
                  <w:pPr>
                    <w:pStyle w:val="30"/>
                    <w:spacing w:before="198" w:line="215" w:lineRule="auto"/>
                    <w:jc w:val="center"/>
                    <w:rPr>
                      <w:rFonts w:ascii="Times New Roman" w:hAnsi="Times New Roman" w:cs="Times New Roman"/>
                      <w:sz w:val="21"/>
                      <w:szCs w:val="21"/>
                      <w:lang w:eastAsia="zh-CN"/>
                    </w:rPr>
                  </w:pPr>
                  <w:r>
                    <w:rPr>
                      <w:rFonts w:ascii="Times New Roman" w:hAnsi="Times New Roman" w:cs="Times New Roman"/>
                      <w:spacing w:val="8"/>
                      <w:sz w:val="21"/>
                      <w:szCs w:val="21"/>
                      <w:lang w:eastAsia="zh-CN"/>
                    </w:rPr>
                    <w:t>符合</w:t>
                  </w:r>
                </w:p>
              </w:tc>
            </w:tr>
            <w:tr w14:paraId="1F94F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jc w:val="center"/>
              </w:trPr>
              <w:tc>
                <w:tcPr>
                  <w:tcW w:w="378" w:type="pct"/>
                  <w:tcBorders>
                    <w:top w:val="nil"/>
                    <w:left w:val="single" w:color="auto" w:sz="4" w:space="0"/>
                    <w:bottom w:val="single" w:color="auto" w:sz="4" w:space="0"/>
                  </w:tcBorders>
                  <w:textDirection w:val="tbRlV"/>
                  <w:vAlign w:val="center"/>
                </w:tcPr>
                <w:p w14:paraId="34807412">
                  <w:pPr>
                    <w:rPr>
                      <w:szCs w:val="21"/>
                    </w:rPr>
                  </w:pPr>
                </w:p>
              </w:tc>
              <w:tc>
                <w:tcPr>
                  <w:tcW w:w="687" w:type="pct"/>
                  <w:tcBorders>
                    <w:bottom w:val="single" w:color="auto" w:sz="4" w:space="0"/>
                    <w:right w:val="single" w:color="auto" w:sz="4" w:space="0"/>
                  </w:tcBorders>
                  <w:shd w:val="clear" w:color="auto" w:fill="auto"/>
                  <w:vAlign w:val="center"/>
                </w:tcPr>
                <w:p w14:paraId="36774FE4">
                  <w:pPr>
                    <w:spacing w:line="254" w:lineRule="auto"/>
                    <w:jc w:val="center"/>
                    <w:rPr>
                      <w:szCs w:val="21"/>
                    </w:rPr>
                  </w:pPr>
                </w:p>
                <w:p w14:paraId="1B78D87E">
                  <w:pPr>
                    <w:spacing w:line="255" w:lineRule="auto"/>
                    <w:jc w:val="center"/>
                    <w:rPr>
                      <w:szCs w:val="21"/>
                    </w:rPr>
                  </w:pPr>
                </w:p>
                <w:p w14:paraId="7CE4A64E">
                  <w:pPr>
                    <w:pStyle w:val="30"/>
                    <w:spacing w:before="65" w:line="244" w:lineRule="auto"/>
                    <w:ind w:left="72" w:right="70" w:firstLine="1"/>
                    <w:jc w:val="center"/>
                    <w:rPr>
                      <w:rFonts w:ascii="Times New Roman" w:hAnsi="Times New Roman" w:cs="Times New Roman"/>
                      <w:sz w:val="21"/>
                      <w:szCs w:val="21"/>
                      <w:lang w:eastAsia="zh-CN"/>
                    </w:rPr>
                  </w:pPr>
                  <w:r>
                    <w:rPr>
                      <w:rFonts w:ascii="Times New Roman" w:hAnsi="Times New Roman" w:cs="Times New Roman"/>
                      <w:spacing w:val="3"/>
                      <w:sz w:val="21"/>
                      <w:szCs w:val="21"/>
                    </w:rPr>
                    <w:t>水环</w:t>
                  </w:r>
                  <w:r>
                    <w:rPr>
                      <w:rFonts w:ascii="Times New Roman" w:hAnsi="Times New Roman" w:cs="Times New Roman"/>
                      <w:spacing w:val="4"/>
                      <w:sz w:val="21"/>
                      <w:szCs w:val="21"/>
                    </w:rPr>
                    <w:t>境</w:t>
                  </w:r>
                  <w:r>
                    <w:rPr>
                      <w:rFonts w:ascii="Times New Roman" w:hAnsi="Times New Roman" w:cs="Times New Roman"/>
                      <w:spacing w:val="4"/>
                      <w:sz w:val="21"/>
                      <w:szCs w:val="21"/>
                      <w:lang w:eastAsia="zh-CN"/>
                    </w:rPr>
                    <w:t>保护</w:t>
                  </w:r>
                </w:p>
              </w:tc>
              <w:tc>
                <w:tcPr>
                  <w:tcW w:w="1622" w:type="pct"/>
                  <w:gridSpan w:val="3"/>
                  <w:tcBorders>
                    <w:left w:val="single" w:color="auto" w:sz="4" w:space="0"/>
                  </w:tcBorders>
                  <w:shd w:val="clear" w:color="auto" w:fill="auto"/>
                  <w:vAlign w:val="center"/>
                </w:tcPr>
                <w:p w14:paraId="381F6A94">
                  <w:pPr>
                    <w:pStyle w:val="30"/>
                    <w:spacing w:before="65" w:line="244" w:lineRule="auto"/>
                    <w:ind w:right="54"/>
                    <w:rPr>
                      <w:rFonts w:ascii="Times New Roman" w:hAnsi="Times New Roman" w:cs="Times New Roman"/>
                      <w:sz w:val="21"/>
                      <w:szCs w:val="21"/>
                      <w:lang w:eastAsia="zh-CN"/>
                    </w:rPr>
                  </w:pPr>
                  <w:r>
                    <w:rPr>
                      <w:rFonts w:ascii="Times New Roman" w:hAnsi="Times New Roman" w:cs="Times New Roman"/>
                      <w:spacing w:val="10"/>
                      <w:sz w:val="21"/>
                      <w:szCs w:val="21"/>
                    </w:rPr>
                    <w:t>施工期间禁止向水体排放、倾倒垃圾、弃土、弃渣，禁止排放未</w:t>
                  </w:r>
                  <w:r>
                    <w:rPr>
                      <w:rFonts w:ascii="Times New Roman" w:hAnsi="Times New Roman" w:cs="Times New Roman"/>
                      <w:spacing w:val="7"/>
                      <w:sz w:val="21"/>
                      <w:szCs w:val="21"/>
                    </w:rPr>
                    <w:t>经处理的钻浆等废弃物。</w:t>
                  </w:r>
                </w:p>
              </w:tc>
              <w:tc>
                <w:tcPr>
                  <w:tcW w:w="1640" w:type="pct"/>
                  <w:gridSpan w:val="2"/>
                  <w:tcBorders>
                    <w:right w:val="single" w:color="000000" w:sz="6" w:space="0"/>
                  </w:tcBorders>
                  <w:shd w:val="clear" w:color="auto" w:fill="auto"/>
                  <w:vAlign w:val="center"/>
                </w:tcPr>
                <w:p w14:paraId="578F3746">
                  <w:pPr>
                    <w:pStyle w:val="30"/>
                    <w:spacing w:before="37" w:line="248" w:lineRule="auto"/>
                    <w:ind w:left="62" w:right="129" w:firstLine="1"/>
                    <w:rPr>
                      <w:rFonts w:ascii="Times New Roman" w:hAnsi="Times New Roman" w:cs="Times New Roman"/>
                      <w:sz w:val="21"/>
                      <w:szCs w:val="21"/>
                    </w:rPr>
                  </w:pPr>
                  <w:r>
                    <w:rPr>
                      <w:rFonts w:ascii="Times New Roman" w:hAnsi="Times New Roman" w:cs="Times New Roman"/>
                      <w:sz w:val="21"/>
                      <w:szCs w:val="21"/>
                      <w:lang w:eastAsia="zh-CN"/>
                    </w:rPr>
                    <w:t>本项目</w:t>
                  </w:r>
                  <w:r>
                    <w:rPr>
                      <w:rFonts w:ascii="Times New Roman" w:hAnsi="Times New Roman" w:cs="Times New Roman"/>
                      <w:sz w:val="21"/>
                      <w:szCs w:val="21"/>
                    </w:rPr>
                    <w:t>施工生产废水经沉淀池沉淀后用于泼洒地面降尘，生活区设置移动环保厕所，施工期</w:t>
                  </w:r>
                  <w:r>
                    <w:rPr>
                      <w:rFonts w:ascii="Times New Roman" w:hAnsi="Times New Roman" w:cs="Times New Roman"/>
                      <w:sz w:val="21"/>
                      <w:szCs w:val="21"/>
                      <w:lang w:eastAsia="zh-CN"/>
                    </w:rPr>
                    <w:t>定期</w:t>
                  </w:r>
                  <w:r>
                    <w:rPr>
                      <w:rFonts w:ascii="Times New Roman" w:hAnsi="Times New Roman" w:cs="Times New Roman"/>
                      <w:sz w:val="21"/>
                      <w:szCs w:val="21"/>
                    </w:rPr>
                    <w:t>清掏，并拉运至</w:t>
                  </w:r>
                  <w:r>
                    <w:rPr>
                      <w:rFonts w:ascii="Times New Roman" w:hAnsi="Times New Roman" w:cs="Times New Roman"/>
                      <w:sz w:val="21"/>
                      <w:szCs w:val="21"/>
                      <w:lang w:eastAsia="zh-CN"/>
                    </w:rPr>
                    <w:t>托克逊县</w:t>
                  </w:r>
                  <w:r>
                    <w:rPr>
                      <w:rFonts w:ascii="Times New Roman" w:hAnsi="Times New Roman" w:cs="Times New Roman"/>
                      <w:sz w:val="21"/>
                      <w:szCs w:val="21"/>
                    </w:rPr>
                    <w:t>生活污水处理厂处理。</w:t>
                  </w:r>
                </w:p>
              </w:tc>
              <w:tc>
                <w:tcPr>
                  <w:tcW w:w="670" w:type="pct"/>
                  <w:shd w:val="clear" w:color="auto" w:fill="auto"/>
                  <w:vAlign w:val="center"/>
                </w:tcPr>
                <w:p w14:paraId="41DAA2CA">
                  <w:pPr>
                    <w:spacing w:before="198" w:line="215" w:lineRule="auto"/>
                    <w:jc w:val="center"/>
                    <w:rPr>
                      <w:szCs w:val="21"/>
                      <w:lang w:eastAsia="en-US"/>
                    </w:rPr>
                  </w:pPr>
                  <w:r>
                    <w:rPr>
                      <w:spacing w:val="8"/>
                      <w:szCs w:val="21"/>
                    </w:rPr>
                    <w:t>符合</w:t>
                  </w:r>
                </w:p>
              </w:tc>
            </w:tr>
            <w:tr w14:paraId="25015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78" w:type="pct"/>
                  <w:tcBorders>
                    <w:top w:val="single" w:color="auto" w:sz="4" w:space="0"/>
                    <w:bottom w:val="nil"/>
                  </w:tcBorders>
                  <w:textDirection w:val="tbRlV"/>
                  <w:vAlign w:val="center"/>
                </w:tcPr>
                <w:p w14:paraId="4A0CD6D8">
                  <w:pPr>
                    <w:rPr>
                      <w:szCs w:val="21"/>
                    </w:rPr>
                  </w:pPr>
                </w:p>
              </w:tc>
              <w:tc>
                <w:tcPr>
                  <w:tcW w:w="687" w:type="pct"/>
                  <w:tcBorders>
                    <w:top w:val="single" w:color="auto" w:sz="4" w:space="0"/>
                  </w:tcBorders>
                  <w:shd w:val="clear" w:color="auto" w:fill="auto"/>
                  <w:vAlign w:val="center"/>
                </w:tcPr>
                <w:p w14:paraId="73E98AC9">
                  <w:pPr>
                    <w:spacing w:line="377" w:lineRule="auto"/>
                    <w:jc w:val="center"/>
                    <w:rPr>
                      <w:szCs w:val="21"/>
                    </w:rPr>
                  </w:pPr>
                </w:p>
                <w:p w14:paraId="0A276661">
                  <w:pPr>
                    <w:pStyle w:val="30"/>
                    <w:spacing w:before="65" w:line="244" w:lineRule="auto"/>
                    <w:ind w:left="71" w:right="70" w:firstLine="2"/>
                    <w:jc w:val="center"/>
                    <w:rPr>
                      <w:rFonts w:ascii="Times New Roman" w:hAnsi="Times New Roman" w:cs="Times New Roman"/>
                      <w:sz w:val="21"/>
                      <w:szCs w:val="21"/>
                    </w:rPr>
                  </w:pPr>
                  <w:r>
                    <w:rPr>
                      <w:rFonts w:ascii="Times New Roman" w:hAnsi="Times New Roman" w:cs="Times New Roman"/>
                      <w:spacing w:val="3"/>
                      <w:sz w:val="21"/>
                      <w:szCs w:val="21"/>
                    </w:rPr>
                    <w:t>大气</w:t>
                  </w:r>
                  <w:r>
                    <w:rPr>
                      <w:rFonts w:ascii="Times New Roman" w:hAnsi="Times New Roman" w:cs="Times New Roman"/>
                      <w:spacing w:val="4"/>
                      <w:sz w:val="21"/>
                      <w:szCs w:val="21"/>
                    </w:rPr>
                    <w:t>环境保护</w:t>
                  </w:r>
                </w:p>
              </w:tc>
              <w:tc>
                <w:tcPr>
                  <w:tcW w:w="1622" w:type="pct"/>
                  <w:gridSpan w:val="3"/>
                  <w:shd w:val="clear" w:color="auto" w:fill="auto"/>
                  <w:vAlign w:val="center"/>
                </w:tcPr>
                <w:p w14:paraId="5C172C9D">
                  <w:pPr>
                    <w:pStyle w:val="30"/>
                    <w:spacing w:before="39" w:line="247" w:lineRule="auto"/>
                    <w:ind w:left="58" w:right="54"/>
                    <w:rPr>
                      <w:rFonts w:ascii="Times New Roman" w:hAnsi="Times New Roman" w:cs="Times New Roman"/>
                      <w:sz w:val="21"/>
                      <w:szCs w:val="21"/>
                      <w:lang w:eastAsia="zh-CN"/>
                    </w:rPr>
                  </w:pPr>
                  <w:r>
                    <w:rPr>
                      <w:rFonts w:ascii="Times New Roman" w:hAnsi="Times New Roman" w:cs="Times New Roman"/>
                      <w:spacing w:val="10"/>
                      <w:sz w:val="21"/>
                      <w:szCs w:val="21"/>
                    </w:rPr>
                    <w:t>施工过程中，对易起尘的临时堆土、运输过程中的土石方等应采</w:t>
                  </w:r>
                  <w:r>
                    <w:rPr>
                      <w:rFonts w:ascii="Times New Roman" w:hAnsi="Times New Roman" w:cs="Times New Roman"/>
                      <w:spacing w:val="14"/>
                      <w:sz w:val="21"/>
                      <w:szCs w:val="21"/>
                    </w:rPr>
                    <w:t>用密闭式防尘布(网)进行苫盖，</w:t>
                  </w:r>
                  <w:r>
                    <w:rPr>
                      <w:rFonts w:ascii="Times New Roman" w:hAnsi="Times New Roman" w:cs="Times New Roman"/>
                      <w:spacing w:val="10"/>
                      <w:sz w:val="21"/>
                      <w:szCs w:val="21"/>
                    </w:rPr>
                    <w:t>施工面集中且有条件的地方宜采取洒水降尘等有效措施，减少易</w:t>
                  </w:r>
                  <w:r>
                    <w:rPr>
                      <w:rFonts w:ascii="Times New Roman" w:hAnsi="Times New Roman" w:cs="Times New Roman"/>
                      <w:spacing w:val="8"/>
                      <w:sz w:val="21"/>
                      <w:szCs w:val="21"/>
                    </w:rPr>
                    <w:t>造成大气污染的施工作业。</w:t>
                  </w:r>
                </w:p>
              </w:tc>
              <w:tc>
                <w:tcPr>
                  <w:tcW w:w="1640" w:type="pct"/>
                  <w:gridSpan w:val="2"/>
                  <w:tcBorders>
                    <w:right w:val="single" w:color="000000" w:sz="6" w:space="0"/>
                  </w:tcBorders>
                  <w:shd w:val="clear" w:color="auto" w:fill="auto"/>
                  <w:vAlign w:val="center"/>
                </w:tcPr>
                <w:p w14:paraId="231A3112">
                  <w:pPr>
                    <w:pStyle w:val="30"/>
                    <w:spacing w:before="173" w:line="247" w:lineRule="auto"/>
                    <w:ind w:left="62" w:right="129" w:firstLine="4"/>
                    <w:rPr>
                      <w:rFonts w:ascii="Times New Roman" w:hAnsi="Times New Roman" w:cs="Times New Roman"/>
                      <w:sz w:val="21"/>
                      <w:szCs w:val="21"/>
                    </w:rPr>
                  </w:pPr>
                  <w:r>
                    <w:rPr>
                      <w:rFonts w:ascii="Times New Roman" w:hAnsi="Times New Roman" w:cs="Times New Roman"/>
                      <w:spacing w:val="9"/>
                      <w:sz w:val="21"/>
                      <w:szCs w:val="21"/>
                      <w:lang w:eastAsia="zh-CN"/>
                    </w:rPr>
                    <w:t>输电线路属于线性工程</w:t>
                  </w:r>
                  <w:r>
                    <w:rPr>
                      <w:rFonts w:ascii="Times New Roman" w:hAnsi="Times New Roman" w:cs="Times New Roman"/>
                      <w:spacing w:val="9"/>
                      <w:sz w:val="21"/>
                      <w:szCs w:val="21"/>
                    </w:rPr>
                    <w:t>，土方开挖较小，在施工过程</w:t>
                  </w:r>
                  <w:r>
                    <w:rPr>
                      <w:rFonts w:ascii="Times New Roman" w:hAnsi="Times New Roman" w:cs="Times New Roman"/>
                      <w:spacing w:val="9"/>
                      <w:sz w:val="21"/>
                      <w:szCs w:val="21"/>
                      <w:lang w:eastAsia="zh-CN"/>
                    </w:rPr>
                    <w:t>中</w:t>
                  </w:r>
                  <w:r>
                    <w:rPr>
                      <w:rFonts w:ascii="Times New Roman" w:hAnsi="Times New Roman" w:cs="Times New Roman"/>
                      <w:spacing w:val="9"/>
                      <w:sz w:val="21"/>
                      <w:szCs w:val="21"/>
                    </w:rPr>
                    <w:t>加强对施工现场和物料运输的管理，保持道路清洁，管控料堆和渣土堆</w:t>
                  </w:r>
                  <w:r>
                    <w:rPr>
                      <w:rFonts w:ascii="Times New Roman" w:hAnsi="Times New Roman" w:cs="Times New Roman"/>
                      <w:spacing w:val="8"/>
                      <w:sz w:val="21"/>
                      <w:szCs w:val="21"/>
                    </w:rPr>
                    <w:t>放，洒水降尘防止扬尘污染。</w:t>
                  </w:r>
                </w:p>
              </w:tc>
              <w:tc>
                <w:tcPr>
                  <w:tcW w:w="670" w:type="pct"/>
                  <w:shd w:val="clear" w:color="auto" w:fill="auto"/>
                  <w:vAlign w:val="center"/>
                </w:tcPr>
                <w:p w14:paraId="060683A8">
                  <w:pPr>
                    <w:spacing w:before="198" w:line="215" w:lineRule="auto"/>
                    <w:jc w:val="center"/>
                    <w:rPr>
                      <w:szCs w:val="21"/>
                      <w:lang w:eastAsia="en-US"/>
                    </w:rPr>
                  </w:pPr>
                  <w:r>
                    <w:rPr>
                      <w:spacing w:val="8"/>
                      <w:szCs w:val="21"/>
                    </w:rPr>
                    <w:t>符合</w:t>
                  </w:r>
                </w:p>
              </w:tc>
            </w:tr>
            <w:tr w14:paraId="2E3D6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4" w:hRule="atLeast"/>
                <w:jc w:val="center"/>
              </w:trPr>
              <w:tc>
                <w:tcPr>
                  <w:tcW w:w="378" w:type="pct"/>
                  <w:tcBorders>
                    <w:top w:val="nil"/>
                    <w:bottom w:val="single" w:color="auto" w:sz="4" w:space="0"/>
                  </w:tcBorders>
                  <w:textDirection w:val="tbRlV"/>
                  <w:vAlign w:val="center"/>
                </w:tcPr>
                <w:p w14:paraId="6986E26E">
                  <w:pPr>
                    <w:rPr>
                      <w:szCs w:val="21"/>
                    </w:rPr>
                  </w:pPr>
                </w:p>
              </w:tc>
              <w:tc>
                <w:tcPr>
                  <w:tcW w:w="687" w:type="pct"/>
                  <w:tcBorders>
                    <w:bottom w:val="single" w:color="auto" w:sz="4" w:space="0"/>
                  </w:tcBorders>
                  <w:shd w:val="clear" w:color="auto" w:fill="auto"/>
                  <w:vAlign w:val="center"/>
                </w:tcPr>
                <w:p w14:paraId="28E550A2">
                  <w:pPr>
                    <w:spacing w:line="246" w:lineRule="auto"/>
                    <w:jc w:val="center"/>
                    <w:rPr>
                      <w:szCs w:val="21"/>
                    </w:rPr>
                  </w:pPr>
                </w:p>
                <w:p w14:paraId="0DD4142C">
                  <w:pPr>
                    <w:pStyle w:val="30"/>
                    <w:spacing w:before="65" w:line="244" w:lineRule="auto"/>
                    <w:ind w:left="70" w:right="70" w:firstLine="18"/>
                    <w:jc w:val="center"/>
                    <w:rPr>
                      <w:rFonts w:ascii="Times New Roman" w:hAnsi="Times New Roman" w:cs="Times New Roman"/>
                      <w:sz w:val="21"/>
                      <w:szCs w:val="21"/>
                    </w:rPr>
                  </w:pPr>
                  <w:r>
                    <w:rPr>
                      <w:rFonts w:ascii="Times New Roman" w:hAnsi="Times New Roman" w:cs="Times New Roman"/>
                      <w:spacing w:val="-5"/>
                      <w:sz w:val="21"/>
                      <w:szCs w:val="21"/>
                    </w:rPr>
                    <w:t>固体</w:t>
                  </w:r>
                  <w:r>
                    <w:rPr>
                      <w:rFonts w:ascii="Times New Roman" w:hAnsi="Times New Roman" w:cs="Times New Roman"/>
                      <w:spacing w:val="5"/>
                      <w:sz w:val="21"/>
                      <w:szCs w:val="21"/>
                    </w:rPr>
                    <w:t>废物处置</w:t>
                  </w:r>
                </w:p>
              </w:tc>
              <w:tc>
                <w:tcPr>
                  <w:tcW w:w="1622" w:type="pct"/>
                  <w:gridSpan w:val="3"/>
                  <w:tcBorders>
                    <w:bottom w:val="single" w:color="auto" w:sz="4" w:space="0"/>
                  </w:tcBorders>
                  <w:shd w:val="clear" w:color="auto" w:fill="auto"/>
                  <w:vAlign w:val="center"/>
                </w:tcPr>
                <w:p w14:paraId="0207724E">
                  <w:pPr>
                    <w:pStyle w:val="30"/>
                    <w:spacing w:before="39" w:line="247" w:lineRule="auto"/>
                    <w:ind w:left="58"/>
                    <w:rPr>
                      <w:rFonts w:ascii="Times New Roman" w:hAnsi="Times New Roman" w:cs="Times New Roman"/>
                      <w:sz w:val="21"/>
                      <w:szCs w:val="21"/>
                      <w:lang w:eastAsia="zh-CN"/>
                    </w:rPr>
                  </w:pPr>
                  <w:r>
                    <w:rPr>
                      <w:rFonts w:ascii="Times New Roman" w:hAnsi="Times New Roman" w:cs="Times New Roman"/>
                      <w:spacing w:val="10"/>
                      <w:sz w:val="21"/>
                      <w:szCs w:val="21"/>
                    </w:rPr>
                    <w:t>施工过程中产生的土石方、建筑</w:t>
                  </w:r>
                  <w:r>
                    <w:rPr>
                      <w:rFonts w:ascii="Times New Roman" w:hAnsi="Times New Roman" w:cs="Times New Roman"/>
                      <w:spacing w:val="-1"/>
                      <w:sz w:val="21"/>
                      <w:szCs w:val="21"/>
                    </w:rPr>
                    <w:t>垃圾、生活垃圾应分类集中收集，</w:t>
                  </w:r>
                  <w:r>
                    <w:rPr>
                      <w:rFonts w:ascii="Times New Roman" w:hAnsi="Times New Roman" w:cs="Times New Roman"/>
                      <w:spacing w:val="10"/>
                      <w:sz w:val="21"/>
                      <w:szCs w:val="21"/>
                    </w:rPr>
                    <w:t>并按国家和地方有关规定定期进行清运处置，施工完成后及时做</w:t>
                  </w:r>
                  <w:r>
                    <w:rPr>
                      <w:rFonts w:ascii="Times New Roman" w:hAnsi="Times New Roman" w:cs="Times New Roman"/>
                      <w:spacing w:val="7"/>
                      <w:sz w:val="21"/>
                      <w:szCs w:val="21"/>
                    </w:rPr>
                    <w:t>好迹地清理工作。</w:t>
                  </w:r>
                </w:p>
              </w:tc>
              <w:tc>
                <w:tcPr>
                  <w:tcW w:w="1640" w:type="pct"/>
                  <w:gridSpan w:val="2"/>
                  <w:tcBorders>
                    <w:bottom w:val="single" w:color="auto" w:sz="4" w:space="0"/>
                    <w:right w:val="single" w:color="000000" w:sz="6" w:space="0"/>
                  </w:tcBorders>
                  <w:shd w:val="clear" w:color="auto" w:fill="auto"/>
                  <w:vAlign w:val="center"/>
                </w:tcPr>
                <w:p w14:paraId="03124D70">
                  <w:pPr>
                    <w:pStyle w:val="30"/>
                    <w:spacing w:before="39" w:line="247" w:lineRule="auto"/>
                    <w:ind w:left="63" w:right="129" w:firstLine="3"/>
                    <w:rPr>
                      <w:rFonts w:ascii="Times New Roman" w:hAnsi="Times New Roman" w:cs="Times New Roman"/>
                      <w:sz w:val="21"/>
                      <w:szCs w:val="21"/>
                    </w:rPr>
                  </w:pPr>
                  <w:r>
                    <w:rPr>
                      <w:rFonts w:ascii="Times New Roman" w:hAnsi="Times New Roman" w:cs="Times New Roman"/>
                      <w:spacing w:val="9"/>
                      <w:sz w:val="21"/>
                      <w:szCs w:val="21"/>
                    </w:rPr>
                    <w:t>项目施工中物料运输采用带篷布的汽车运输；生活垃圾依托附近垃圾填埋场处理；建筑垃圾分别集中收集后由施工单位</w:t>
                  </w:r>
                  <w:r>
                    <w:rPr>
                      <w:rFonts w:ascii="Times New Roman" w:hAnsi="Times New Roman" w:cs="Times New Roman"/>
                      <w:spacing w:val="8"/>
                      <w:sz w:val="21"/>
                      <w:szCs w:val="21"/>
                    </w:rPr>
                    <w:t>统一回收，综合利用。</w:t>
                  </w:r>
                </w:p>
              </w:tc>
              <w:tc>
                <w:tcPr>
                  <w:tcW w:w="670" w:type="pct"/>
                  <w:tcBorders>
                    <w:bottom w:val="single" w:color="auto" w:sz="4" w:space="0"/>
                  </w:tcBorders>
                  <w:shd w:val="clear" w:color="auto" w:fill="auto"/>
                  <w:vAlign w:val="center"/>
                </w:tcPr>
                <w:p w14:paraId="37688191">
                  <w:pPr>
                    <w:spacing w:before="198" w:line="215" w:lineRule="auto"/>
                    <w:jc w:val="center"/>
                    <w:rPr>
                      <w:szCs w:val="21"/>
                      <w:lang w:eastAsia="en-US"/>
                    </w:rPr>
                  </w:pPr>
                  <w:r>
                    <w:rPr>
                      <w:spacing w:val="8"/>
                      <w:szCs w:val="21"/>
                    </w:rPr>
                    <w:t>符合</w:t>
                  </w:r>
                </w:p>
              </w:tc>
            </w:tr>
            <w:tr w14:paraId="1C81B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78" w:type="pct"/>
                  <w:tcBorders>
                    <w:top w:val="single" w:color="auto" w:sz="4" w:space="0"/>
                    <w:left w:val="single" w:color="auto" w:sz="4" w:space="0"/>
                    <w:bottom w:val="single" w:color="auto" w:sz="4" w:space="0"/>
                  </w:tcBorders>
                  <w:vAlign w:val="center"/>
                </w:tcPr>
                <w:p w14:paraId="0139B738">
                  <w:pPr>
                    <w:rPr>
                      <w:szCs w:val="21"/>
                    </w:rPr>
                  </w:pPr>
                  <w:r>
                    <w:rPr>
                      <w:szCs w:val="21"/>
                    </w:rPr>
                    <w:t>运行</w:t>
                  </w:r>
                </w:p>
              </w:tc>
              <w:tc>
                <w:tcPr>
                  <w:tcW w:w="1540" w:type="pct"/>
                  <w:gridSpan w:val="2"/>
                  <w:tcBorders>
                    <w:top w:val="single" w:color="auto" w:sz="4" w:space="0"/>
                    <w:bottom w:val="single" w:color="auto" w:sz="4" w:space="0"/>
                  </w:tcBorders>
                  <w:shd w:val="clear" w:color="auto" w:fill="auto"/>
                  <w:vAlign w:val="center"/>
                </w:tcPr>
                <w:p w14:paraId="743EE4BC">
                  <w:pPr>
                    <w:pStyle w:val="30"/>
                    <w:spacing w:before="142" w:line="224" w:lineRule="auto"/>
                    <w:ind w:left="59" w:right="52"/>
                    <w:rPr>
                      <w:rFonts w:ascii="Times New Roman" w:hAnsi="Times New Roman" w:cs="Times New Roman"/>
                      <w:sz w:val="21"/>
                      <w:szCs w:val="21"/>
                    </w:rPr>
                  </w:pPr>
                  <w:r>
                    <w:rPr>
                      <w:rFonts w:ascii="Times New Roman" w:hAnsi="Times New Roman" w:cs="Times New Roman"/>
                      <w:spacing w:val="18"/>
                      <w:sz w:val="21"/>
                      <w:szCs w:val="21"/>
                    </w:rPr>
                    <w:t>运行期做好环境保护设施的维护和运</w:t>
                  </w:r>
                  <w:r>
                    <w:rPr>
                      <w:rFonts w:ascii="Times New Roman" w:hAnsi="Times New Roman" w:cs="Times New Roman"/>
                      <w:spacing w:val="5"/>
                      <w:sz w:val="21"/>
                      <w:szCs w:val="21"/>
                    </w:rPr>
                    <w:t>行管理，加强巡查和检查，保障发挥环</w:t>
                  </w:r>
                  <w:r>
                    <w:rPr>
                      <w:rFonts w:ascii="Times New Roman" w:hAnsi="Times New Roman" w:cs="Times New Roman"/>
                      <w:spacing w:val="6"/>
                      <w:sz w:val="21"/>
                      <w:szCs w:val="21"/>
                    </w:rPr>
                    <w:t>境保护作用。</w:t>
                  </w:r>
                </w:p>
              </w:tc>
              <w:tc>
                <w:tcPr>
                  <w:tcW w:w="1541" w:type="pct"/>
                  <w:gridSpan w:val="3"/>
                  <w:tcBorders>
                    <w:top w:val="single" w:color="auto" w:sz="4" w:space="0"/>
                    <w:bottom w:val="single" w:color="auto" w:sz="4" w:space="0"/>
                  </w:tcBorders>
                  <w:shd w:val="clear" w:color="auto" w:fill="auto"/>
                  <w:vAlign w:val="center"/>
                </w:tcPr>
                <w:p w14:paraId="4F2326E2">
                  <w:pPr>
                    <w:pStyle w:val="30"/>
                    <w:spacing w:before="23" w:line="223" w:lineRule="auto"/>
                    <w:ind w:left="63" w:right="50"/>
                    <w:rPr>
                      <w:rFonts w:ascii="Times New Roman" w:hAnsi="Times New Roman" w:cs="Times New Roman"/>
                      <w:sz w:val="21"/>
                      <w:szCs w:val="21"/>
                    </w:rPr>
                  </w:pPr>
                  <w:r>
                    <w:rPr>
                      <w:rFonts w:ascii="Times New Roman" w:hAnsi="Times New Roman" w:cs="Times New Roman"/>
                      <w:spacing w:val="15"/>
                      <w:sz w:val="21"/>
                      <w:szCs w:val="21"/>
                    </w:rPr>
                    <w:t>本环评要求项目建成后，建设单位应按照环评批复及本环评做好运营期环境监测及定期巡</w:t>
                  </w:r>
                  <w:r>
                    <w:rPr>
                      <w:rFonts w:ascii="Times New Roman" w:hAnsi="Times New Roman" w:cs="Times New Roman"/>
                      <w:spacing w:val="5"/>
                      <w:sz w:val="21"/>
                      <w:szCs w:val="21"/>
                    </w:rPr>
                    <w:t>检等工作。</w:t>
                  </w:r>
                </w:p>
              </w:tc>
              <w:tc>
                <w:tcPr>
                  <w:tcW w:w="1540" w:type="pct"/>
                  <w:gridSpan w:val="2"/>
                  <w:tcBorders>
                    <w:top w:val="single" w:color="auto" w:sz="4" w:space="0"/>
                    <w:bottom w:val="single" w:color="auto" w:sz="4" w:space="0"/>
                  </w:tcBorders>
                  <w:shd w:val="clear" w:color="auto" w:fill="auto"/>
                  <w:vAlign w:val="center"/>
                </w:tcPr>
                <w:p w14:paraId="06D4633B">
                  <w:pPr>
                    <w:pStyle w:val="30"/>
                    <w:spacing w:before="198" w:line="215"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符合</w:t>
                  </w:r>
                </w:p>
              </w:tc>
            </w:tr>
          </w:tbl>
          <w:p w14:paraId="20AC46F5">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Autospacing="0" w:line="360" w:lineRule="auto"/>
              <w:ind w:left="0" w:right="0"/>
              <w:jc w:val="left"/>
              <w:textAlignment w:val="auto"/>
              <w:rPr>
                <w:rFonts w:ascii="宋体" w:hAnsi="宋体" w:cs="宋体"/>
                <w:b/>
                <w:bCs/>
                <w:color w:val="000000"/>
                <w:kern w:val="0"/>
                <w:sz w:val="24"/>
              </w:rPr>
            </w:pPr>
            <w:r>
              <w:rPr>
                <w:b/>
                <w:bCs/>
                <w:color w:val="000000"/>
                <w:kern w:val="0"/>
                <w:sz w:val="24"/>
              </w:rPr>
              <w:t>8</w:t>
            </w:r>
            <w:r>
              <w:rPr>
                <w:rFonts w:hint="eastAsia" w:ascii="宋体" w:hAnsi="宋体" w:cs="宋体"/>
                <w:b/>
                <w:bCs/>
                <w:color w:val="000000"/>
                <w:kern w:val="0"/>
                <w:sz w:val="24"/>
              </w:rPr>
              <w:t>、《新疆维吾尔自治区七大片区“三线一单”生态环境分区管控要求》符合性分析</w:t>
            </w:r>
          </w:p>
          <w:p w14:paraId="453206A9">
            <w:pPr>
              <w:keepNext w:val="0"/>
              <w:keepLines w:val="0"/>
              <w:widowControl/>
              <w:suppressLineNumbers w:val="0"/>
              <w:spacing w:before="0" w:beforeAutospacing="0" w:after="0" w:afterAutospacing="0" w:line="360" w:lineRule="auto"/>
              <w:ind w:left="0" w:right="0" w:firstLine="480" w:firstLineChars="200"/>
              <w:jc w:val="left"/>
              <w:rPr>
                <w:sz w:val="24"/>
              </w:rPr>
            </w:pPr>
            <w:r>
              <w:rPr>
                <w:rFonts w:hint="eastAsia"/>
                <w:sz w:val="24"/>
              </w:rPr>
              <w:t>根据关于印发《新疆维吾尔自治区七大片区“三线一单”生态环境分区管控要求》(2021年版)的通知(新环环评发〔2021〕162号)，本项目位于吐哈片区，具体管控要求见表1-2。</w:t>
            </w:r>
          </w:p>
          <w:p w14:paraId="47C0651B">
            <w:pPr>
              <w:keepNext w:val="0"/>
              <w:keepLines w:val="0"/>
              <w:widowControl/>
              <w:suppressLineNumbers w:val="0"/>
              <w:spacing w:before="0" w:beforeAutospacing="0" w:after="0" w:afterAutospacing="0"/>
              <w:ind w:left="0" w:right="0"/>
              <w:jc w:val="center"/>
              <w:rPr>
                <w:rFonts w:ascii="宋体" w:hAnsi="宋体" w:cs="宋体"/>
                <w:b/>
                <w:bCs/>
                <w:color w:val="000000"/>
                <w:kern w:val="0"/>
                <w:sz w:val="24"/>
              </w:rPr>
            </w:pPr>
            <w:r>
              <w:rPr>
                <w:rFonts w:hint="eastAsia" w:ascii="宋体" w:hAnsi="宋体" w:cs="宋体"/>
                <w:b/>
                <w:bCs/>
                <w:color w:val="000000"/>
                <w:kern w:val="0"/>
                <w:sz w:val="21"/>
                <w:szCs w:val="21"/>
              </w:rPr>
              <w:t>表</w:t>
            </w:r>
            <w:r>
              <w:rPr>
                <w:b/>
                <w:bCs/>
                <w:color w:val="000000"/>
                <w:kern w:val="0"/>
                <w:sz w:val="21"/>
                <w:szCs w:val="21"/>
              </w:rPr>
              <w:t>1-2</w:t>
            </w:r>
            <w:r>
              <w:rPr>
                <w:rFonts w:hint="eastAsia" w:ascii="宋体" w:hAnsi="宋体" w:cs="宋体"/>
                <w:b/>
                <w:bCs/>
                <w:color w:val="000000"/>
                <w:kern w:val="0"/>
                <w:sz w:val="21"/>
                <w:szCs w:val="21"/>
              </w:rPr>
              <w:t xml:space="preserve">   七大片区“三线一单”生态环境分区管控要求符合性</w:t>
            </w:r>
          </w:p>
          <w:tbl>
            <w:tblPr>
              <w:tblStyle w:val="22"/>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500"/>
              <w:gridCol w:w="2516"/>
              <w:gridCol w:w="1128"/>
            </w:tblGrid>
            <w:tr w14:paraId="4BE4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656" w:type="dxa"/>
                  <w:vAlign w:val="center"/>
                </w:tcPr>
                <w:p w14:paraId="2E12487A">
                  <w:pPr>
                    <w:keepNext w:val="0"/>
                    <w:keepLines w:val="0"/>
                    <w:widowControl/>
                    <w:suppressLineNumbers w:val="0"/>
                    <w:spacing w:before="0" w:beforeAutospacing="0" w:after="0" w:afterAutospacing="0"/>
                    <w:ind w:left="0" w:right="0"/>
                    <w:jc w:val="center"/>
                    <w:rPr>
                      <w:rFonts w:ascii="宋体" w:hAnsi="宋体" w:cs="宋体"/>
                      <w:b/>
                      <w:bCs/>
                      <w:color w:val="000000"/>
                      <w:kern w:val="0"/>
                      <w:szCs w:val="21"/>
                    </w:rPr>
                  </w:pPr>
                  <w:r>
                    <w:rPr>
                      <w:rFonts w:hint="eastAsia" w:ascii="宋体" w:hAnsi="宋体" w:cs="宋体"/>
                      <w:color w:val="000000"/>
                      <w:kern w:val="0"/>
                      <w:szCs w:val="21"/>
                    </w:rPr>
                    <w:t>文件名称</w:t>
                  </w:r>
                </w:p>
              </w:tc>
              <w:tc>
                <w:tcPr>
                  <w:tcW w:w="2500" w:type="dxa"/>
                  <w:vAlign w:val="center"/>
                </w:tcPr>
                <w:p w14:paraId="3526C2D0">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p w14:paraId="766330A6">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r>
                    <w:rPr>
                      <w:rFonts w:hint="eastAsia" w:ascii="宋体" w:hAnsi="宋体" w:cs="宋体"/>
                      <w:color w:val="000000"/>
                      <w:kern w:val="0"/>
                      <w:szCs w:val="21"/>
                    </w:rPr>
                    <w:t>环境管理政策有关要求</w:t>
                  </w:r>
                </w:p>
                <w:p w14:paraId="221159CE">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tc>
              <w:tc>
                <w:tcPr>
                  <w:tcW w:w="2516" w:type="dxa"/>
                  <w:vAlign w:val="center"/>
                </w:tcPr>
                <w:p w14:paraId="22633768">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p w14:paraId="26650889">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r>
                    <w:rPr>
                      <w:rFonts w:hint="eastAsia" w:ascii="宋体" w:hAnsi="宋体" w:cs="宋体"/>
                      <w:color w:val="000000"/>
                      <w:kern w:val="0"/>
                      <w:szCs w:val="21"/>
                    </w:rPr>
                    <w:t>本项目情况</w:t>
                  </w:r>
                </w:p>
                <w:p w14:paraId="503F2A2C">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tc>
              <w:tc>
                <w:tcPr>
                  <w:tcW w:w="1128" w:type="dxa"/>
                  <w:vAlign w:val="center"/>
                </w:tcPr>
                <w:p w14:paraId="457B8F17">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p w14:paraId="3FFDFF79">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r>
                    <w:rPr>
                      <w:rFonts w:hint="eastAsia" w:ascii="宋体" w:hAnsi="宋体" w:cs="宋体"/>
                      <w:color w:val="000000"/>
                      <w:kern w:val="0"/>
                      <w:szCs w:val="21"/>
                    </w:rPr>
                    <w:t>符合性</w:t>
                  </w:r>
                </w:p>
                <w:p w14:paraId="298A1482">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p>
              </w:tc>
            </w:tr>
            <w:tr w14:paraId="3A67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656" w:type="dxa"/>
                  <w:vAlign w:val="center"/>
                </w:tcPr>
                <w:p w14:paraId="1F4D8AF0">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r>
                    <w:rPr>
                      <w:rFonts w:hint="eastAsia" w:ascii="宋体" w:hAnsi="宋体" w:cs="宋体"/>
                      <w:color w:val="000000"/>
                      <w:kern w:val="0"/>
                      <w:szCs w:val="21"/>
                    </w:rPr>
                    <w:t>《新疆维吾尔自治区七大片区“三线一单”生态环境分区管控要求》(2021年版)的通知(新环</w:t>
                  </w:r>
                </w:p>
                <w:p w14:paraId="6DD5241F">
                  <w:pPr>
                    <w:keepNext w:val="0"/>
                    <w:keepLines w:val="0"/>
                    <w:widowControl/>
                    <w:suppressLineNumbers w:val="0"/>
                    <w:spacing w:before="0" w:beforeAutospacing="0" w:after="0" w:afterAutospacing="0"/>
                    <w:ind w:left="0" w:right="0"/>
                    <w:jc w:val="center"/>
                    <w:rPr>
                      <w:rFonts w:ascii="宋体" w:hAnsi="宋体" w:cs="宋体"/>
                      <w:color w:val="000000"/>
                      <w:kern w:val="0"/>
                      <w:szCs w:val="21"/>
                    </w:rPr>
                  </w:pPr>
                  <w:r>
                    <w:rPr>
                      <w:rFonts w:hint="eastAsia" w:ascii="宋体" w:hAnsi="宋体" w:cs="宋体"/>
                      <w:color w:val="000000"/>
                      <w:kern w:val="0"/>
                      <w:szCs w:val="21"/>
                    </w:rPr>
                    <w:t>环评发〔2021〕</w:t>
                  </w:r>
                </w:p>
                <w:p w14:paraId="6F7191E7">
                  <w:pPr>
                    <w:keepNext w:val="0"/>
                    <w:keepLines w:val="0"/>
                    <w:widowControl/>
                    <w:suppressLineNumbers w:val="0"/>
                    <w:spacing w:before="0" w:beforeAutospacing="0" w:after="0" w:afterAutospacing="0"/>
                    <w:ind w:left="0" w:right="0"/>
                    <w:jc w:val="center"/>
                    <w:rPr>
                      <w:rFonts w:ascii="宋体" w:hAnsi="宋体" w:cs="宋体"/>
                      <w:b/>
                      <w:bCs/>
                      <w:color w:val="000000"/>
                      <w:kern w:val="0"/>
                      <w:szCs w:val="21"/>
                    </w:rPr>
                  </w:pPr>
                  <w:r>
                    <w:rPr>
                      <w:rFonts w:hint="eastAsia" w:ascii="宋体" w:hAnsi="宋体" w:cs="宋体"/>
                      <w:color w:val="000000"/>
                      <w:kern w:val="0"/>
                      <w:szCs w:val="21"/>
                    </w:rPr>
                    <w:t>162号)</w:t>
                  </w:r>
                </w:p>
              </w:tc>
              <w:tc>
                <w:tcPr>
                  <w:tcW w:w="2500" w:type="dxa"/>
                  <w:vAlign w:val="center"/>
                </w:tcPr>
                <w:p w14:paraId="6F78D41A">
                  <w:pPr>
                    <w:keepNext w:val="0"/>
                    <w:keepLines w:val="0"/>
                    <w:widowControl/>
                    <w:suppressLineNumbers w:val="0"/>
                    <w:spacing w:before="0" w:beforeAutospacing="0" w:after="0" w:afterAutospacing="0"/>
                    <w:ind w:left="0" w:right="0"/>
                    <w:jc w:val="left"/>
                    <w:rPr>
                      <w:rFonts w:ascii="宋体" w:hAnsi="宋体" w:cs="宋体"/>
                      <w:color w:val="000000" w:themeColor="text1"/>
                      <w:kern w:val="0"/>
                      <w:szCs w:val="21"/>
                    </w:rPr>
                  </w:pPr>
                  <w:r>
                    <w:rPr>
                      <w:rFonts w:hint="eastAsia" w:ascii="宋体" w:hAnsi="宋体" w:cs="宋体"/>
                      <w:color w:val="000000" w:themeColor="text1"/>
                      <w:kern w:val="0"/>
                      <w:szCs w:val="21"/>
                    </w:rPr>
                    <w:t>吐哈片区包括哈密市、吐鲁番市。</w:t>
                  </w:r>
                </w:p>
                <w:p w14:paraId="5FA1AF9C">
                  <w:pPr>
                    <w:keepNext w:val="0"/>
                    <w:keepLines w:val="0"/>
                    <w:widowControl/>
                    <w:suppressLineNumbers w:val="0"/>
                    <w:spacing w:before="0" w:beforeAutospacing="0" w:after="0" w:afterAutospacing="0"/>
                    <w:ind w:left="0" w:right="0"/>
                    <w:jc w:val="left"/>
                    <w:rPr>
                      <w:rFonts w:ascii="宋体" w:hAnsi="宋体" w:cs="宋体"/>
                      <w:color w:val="000000" w:themeColor="text1"/>
                      <w:kern w:val="0"/>
                      <w:szCs w:val="21"/>
                    </w:rPr>
                  </w:pPr>
                  <w:r>
                    <w:rPr>
                      <w:rFonts w:hint="eastAsia" w:ascii="宋体" w:hAnsi="宋体" w:cs="宋体"/>
                      <w:color w:val="000000" w:themeColor="text1"/>
                      <w:kern w:val="0"/>
                      <w:szCs w:val="21"/>
                    </w:rPr>
                    <w:t>吐哈片区应突出荒漠化防治和水资源利用率提升，加强生态防护林地保护。</w:t>
                  </w:r>
                </w:p>
              </w:tc>
              <w:tc>
                <w:tcPr>
                  <w:tcW w:w="2516" w:type="dxa"/>
                  <w:vAlign w:val="center"/>
                </w:tcPr>
                <w:p w14:paraId="37594F4E">
                  <w:pPr>
                    <w:keepNext w:val="0"/>
                    <w:keepLines w:val="0"/>
                    <w:widowControl/>
                    <w:suppressLineNumbers w:val="0"/>
                    <w:spacing w:before="0" w:beforeAutospacing="0" w:after="0" w:afterAutospacing="0"/>
                    <w:ind w:left="0" w:right="0"/>
                    <w:jc w:val="left"/>
                    <w:rPr>
                      <w:color w:val="000000" w:themeColor="text1"/>
                      <w:szCs w:val="21"/>
                    </w:rPr>
                  </w:pPr>
                  <w:r>
                    <w:rPr>
                      <w:rFonts w:hint="eastAsia" w:ascii="宋体" w:hAnsi="宋体" w:cs="宋体"/>
                      <w:color w:val="000000" w:themeColor="text1"/>
                      <w:kern w:val="0"/>
                      <w:szCs w:val="21"/>
                    </w:rPr>
                    <w:t>本项目位于吐鲁番市托克逊县库米什镇，项目为电力基础设施建设项目，线路沿线不涉及河流、天然林、生态防护林地等生态保护目标。</w:t>
                  </w:r>
                </w:p>
                <w:p w14:paraId="6DAC99CA">
                  <w:pPr>
                    <w:keepNext w:val="0"/>
                    <w:keepLines w:val="0"/>
                    <w:widowControl/>
                    <w:suppressLineNumbers w:val="0"/>
                    <w:spacing w:before="0" w:beforeAutospacing="0" w:after="0" w:afterAutospacing="0"/>
                    <w:ind w:left="0" w:right="0"/>
                    <w:jc w:val="left"/>
                    <w:rPr>
                      <w:rFonts w:ascii="宋体" w:hAnsi="宋体" w:cs="宋体"/>
                      <w:b/>
                      <w:bCs/>
                      <w:color w:val="000000" w:themeColor="text1"/>
                      <w:kern w:val="0"/>
                      <w:szCs w:val="21"/>
                    </w:rPr>
                  </w:pPr>
                </w:p>
              </w:tc>
              <w:tc>
                <w:tcPr>
                  <w:tcW w:w="1128" w:type="dxa"/>
                  <w:vAlign w:val="center"/>
                </w:tcPr>
                <w:p w14:paraId="40606293">
                  <w:pPr>
                    <w:keepNext w:val="0"/>
                    <w:keepLines w:val="0"/>
                    <w:widowControl/>
                    <w:suppressLineNumbers w:val="0"/>
                    <w:spacing w:before="0" w:beforeAutospacing="0" w:after="0" w:afterAutospacing="0"/>
                    <w:ind w:left="0" w:right="0"/>
                    <w:jc w:val="center"/>
                    <w:rPr>
                      <w:rFonts w:ascii="宋体" w:hAnsi="宋体" w:cs="宋体"/>
                      <w:b/>
                      <w:bCs/>
                      <w:color w:val="000000"/>
                      <w:kern w:val="0"/>
                      <w:szCs w:val="21"/>
                    </w:rPr>
                  </w:pPr>
                  <w:r>
                    <w:rPr>
                      <w:rFonts w:hint="eastAsia" w:ascii="宋体" w:hAnsi="宋体" w:cs="宋体"/>
                      <w:color w:val="000000"/>
                      <w:kern w:val="0"/>
                      <w:szCs w:val="21"/>
                    </w:rPr>
                    <w:t>符合</w:t>
                  </w:r>
                </w:p>
              </w:tc>
            </w:tr>
          </w:tbl>
          <w:p w14:paraId="6A4AE4C7">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Autospacing="0" w:line="360" w:lineRule="auto"/>
              <w:ind w:left="0" w:right="0"/>
              <w:jc w:val="left"/>
              <w:textAlignment w:val="auto"/>
              <w:rPr>
                <w:rFonts w:ascii="宋体" w:hAnsi="宋体" w:cs="宋体"/>
                <w:b/>
                <w:bCs/>
                <w:color w:val="000000"/>
                <w:kern w:val="0"/>
                <w:sz w:val="24"/>
              </w:rPr>
            </w:pPr>
            <w:r>
              <w:rPr>
                <w:rFonts w:hint="eastAsia"/>
                <w:b/>
                <w:bCs/>
                <w:color w:val="000000"/>
                <w:kern w:val="0"/>
                <w:sz w:val="24"/>
              </w:rPr>
              <w:t>9</w:t>
            </w:r>
            <w:r>
              <w:rPr>
                <w:rFonts w:hint="eastAsia" w:ascii="宋体" w:hAnsi="宋体" w:cs="宋体"/>
                <w:b/>
                <w:bCs/>
                <w:color w:val="000000"/>
                <w:kern w:val="0"/>
                <w:sz w:val="24"/>
              </w:rPr>
              <w:t>、与《吐鲁番市“三线一单”生态环境分区管控方案》符合性分析</w:t>
            </w:r>
          </w:p>
          <w:p w14:paraId="45BE5AA1">
            <w:pPr>
              <w:pStyle w:val="30"/>
              <w:keepNext w:val="0"/>
              <w:keepLines w:val="0"/>
              <w:suppressLineNumbers w:val="0"/>
              <w:spacing w:before="57" w:beforeAutospacing="0" w:after="0" w:afterAutospacing="0" w:line="360" w:lineRule="auto"/>
              <w:ind w:left="20" w:right="9" w:firstLine="480" w:firstLineChars="200"/>
              <w:rPr>
                <w:spacing w:val="-1"/>
              </w:rPr>
            </w:pPr>
            <w:r>
              <w:rPr>
                <w:rFonts w:hint="eastAsia" w:ascii="Times New Roman" w:hAnsi="Times New Roman" w:cs="Times New Roman"/>
                <w:lang w:eastAsia="zh-CN"/>
              </w:rPr>
              <w:t>2021年6月30日，吐鲁番市人民政府办公室下发了关于印发《吐鲁番市“三线一单”生态环境分区管控方案》的通知(乌政办〔2021〕24号)，《方案》提出：到2035年，全市生态环境质量全面改</w:t>
            </w:r>
            <w:r>
              <w:t>善并根本好转，生态功能显著提升，生态安全得到全面保障。建立完善的生态环境分区管控体系，环境保护与经济发展实现良性循环，基本实</w:t>
            </w:r>
            <w:r>
              <w:rPr>
                <w:spacing w:val="-1"/>
              </w:rPr>
              <w:t>现环境治理体系和治理能力的现代化。</w:t>
            </w:r>
          </w:p>
          <w:p w14:paraId="070CB837">
            <w:pPr>
              <w:pStyle w:val="30"/>
              <w:keepNext w:val="0"/>
              <w:keepLines w:val="0"/>
              <w:suppressLineNumbers w:val="0"/>
              <w:spacing w:before="195" w:beforeAutospacing="0" w:after="0" w:afterAutospacing="0" w:line="360" w:lineRule="auto"/>
              <w:ind w:left="18" w:right="11" w:firstLine="480"/>
            </w:pPr>
            <w:r>
              <w:rPr>
                <w:spacing w:val="-5"/>
              </w:rPr>
              <w:t>根据</w:t>
            </w:r>
            <w:r>
              <w:rPr>
                <w:rFonts w:hint="eastAsia"/>
                <w:spacing w:val="-5"/>
                <w:lang w:eastAsia="zh-CN"/>
              </w:rPr>
              <w:t>《</w:t>
            </w:r>
            <w:r>
              <w:rPr>
                <w:spacing w:val="-5"/>
              </w:rPr>
              <w:t>新疆维吾尔自治区生态环境厅关于做</w:t>
            </w:r>
            <w:r>
              <w:t>好</w:t>
            </w:r>
            <w:r>
              <w:rPr>
                <w:rFonts w:hint="eastAsia"/>
                <w:lang w:eastAsia="zh-CN"/>
              </w:rPr>
              <w:t>“</w:t>
            </w:r>
            <w:r>
              <w:t>三线一单</w:t>
            </w:r>
            <w:r>
              <w:rPr>
                <w:rFonts w:hint="eastAsia"/>
                <w:lang w:eastAsia="zh-CN"/>
              </w:rPr>
              <w:t>”生态环境</w:t>
            </w:r>
            <w:r>
              <w:t>分区管控更新调整工作的通知》 (新环环评发〔</w:t>
            </w:r>
            <w:r>
              <w:rPr>
                <w:rFonts w:ascii="Times New Roman" w:hAnsi="Times New Roman" w:cs="Times New Roman"/>
                <w:lang w:eastAsia="zh-CN"/>
              </w:rPr>
              <w:t>2022</w:t>
            </w:r>
            <w:r>
              <w:t>〕</w:t>
            </w:r>
            <w:r>
              <w:rPr>
                <w:rFonts w:ascii="Times New Roman" w:hAnsi="Times New Roman" w:cs="Times New Roman"/>
                <w:lang w:eastAsia="zh-CN"/>
              </w:rPr>
              <w:t>113</w:t>
            </w:r>
            <w:r>
              <w:t xml:space="preserve"> 号)及《关于印发&lt;新疆维吾尔自治区生态环境分区管控动态更新成</w:t>
            </w:r>
            <w:r>
              <w:rPr>
                <w:spacing w:val="-4"/>
              </w:rPr>
              <w:t>果&gt;的通知》(新环</w:t>
            </w:r>
            <w:r>
              <w:rPr>
                <w:spacing w:val="-2"/>
              </w:rPr>
              <w:t>环评发〔</w:t>
            </w:r>
            <w:r>
              <w:rPr>
                <w:rFonts w:ascii="Times New Roman" w:hAnsi="Times New Roman" w:cs="Times New Roman"/>
                <w:lang w:eastAsia="zh-CN"/>
              </w:rPr>
              <w:t>2024</w:t>
            </w:r>
            <w:r>
              <w:rPr>
                <w:spacing w:val="-2"/>
              </w:rPr>
              <w:t>〕</w:t>
            </w:r>
            <w:r>
              <w:rPr>
                <w:rFonts w:ascii="Times New Roman" w:hAnsi="Times New Roman" w:cs="Times New Roman"/>
                <w:lang w:eastAsia="zh-CN"/>
              </w:rPr>
              <w:t>157</w:t>
            </w:r>
            <w:r>
              <w:rPr>
                <w:rFonts w:hint="eastAsia"/>
                <w:spacing w:val="-44"/>
                <w:lang w:eastAsia="zh-CN"/>
              </w:rPr>
              <w:t>号）</w:t>
            </w:r>
            <w:r>
              <w:rPr>
                <w:spacing w:val="-2"/>
              </w:rPr>
              <w:t>，本项目涉及托克逊县一般生态空间，环境管控</w:t>
            </w:r>
            <w:r>
              <w:t>单元编码为</w:t>
            </w:r>
            <w:r>
              <w:rPr>
                <w:rFonts w:ascii="Times New Roman" w:hAnsi="Times New Roman" w:cs="Times New Roman"/>
                <w:lang w:eastAsia="zh-CN"/>
              </w:rPr>
              <w:t>ZH650422</w:t>
            </w:r>
            <w:r>
              <w:rPr>
                <w:rFonts w:hint="eastAsia" w:ascii="Times New Roman" w:hAnsi="Times New Roman" w:cs="Times New Roman"/>
                <w:lang w:eastAsia="zh-CN"/>
              </w:rPr>
              <w:t>3</w:t>
            </w:r>
            <w:r>
              <w:rPr>
                <w:rFonts w:ascii="Times New Roman" w:hAnsi="Times New Roman" w:cs="Times New Roman"/>
                <w:lang w:eastAsia="zh-CN"/>
              </w:rPr>
              <w:t>000</w:t>
            </w:r>
            <w:r>
              <w:rPr>
                <w:rFonts w:hint="eastAsia" w:ascii="Times New Roman" w:hAnsi="Times New Roman" w:cs="Times New Roman"/>
                <w:lang w:eastAsia="zh-CN"/>
              </w:rPr>
              <w:t>1</w:t>
            </w:r>
            <w:r>
              <w:rPr>
                <w:rFonts w:hint="eastAsia"/>
                <w:lang w:eastAsia="zh-CN"/>
              </w:rPr>
              <w:t>。</w:t>
            </w:r>
          </w:p>
          <w:p w14:paraId="35EE3B9D">
            <w:pPr>
              <w:pStyle w:val="30"/>
              <w:keepNext w:val="0"/>
              <w:keepLines w:val="0"/>
              <w:suppressLineNumbers w:val="0"/>
              <w:spacing w:before="57" w:beforeAutospacing="0" w:after="0" w:afterAutospacing="0" w:line="350" w:lineRule="auto"/>
              <w:ind w:left="0" w:right="9"/>
              <w:jc w:val="center"/>
              <w:rPr>
                <w:b/>
                <w:bCs/>
                <w:spacing w:val="-4"/>
              </w:rPr>
            </w:pPr>
            <w:r>
              <w:rPr>
                <w:b/>
                <w:bCs/>
                <w:spacing w:val="-4"/>
                <w:sz w:val="21"/>
                <w:szCs w:val="21"/>
              </w:rPr>
              <w:t>表</w:t>
            </w:r>
            <w:r>
              <w:rPr>
                <w:spacing w:val="-31"/>
                <w:sz w:val="21"/>
                <w:szCs w:val="21"/>
              </w:rPr>
              <w:t xml:space="preserve"> </w:t>
            </w:r>
            <w:r>
              <w:rPr>
                <w:b/>
                <w:bCs/>
                <w:spacing w:val="-4"/>
                <w:sz w:val="21"/>
                <w:szCs w:val="21"/>
              </w:rPr>
              <w:t>1-4</w:t>
            </w:r>
            <w:r>
              <w:rPr>
                <w:spacing w:val="-4"/>
                <w:sz w:val="21"/>
                <w:szCs w:val="21"/>
              </w:rPr>
              <w:t xml:space="preserve"> </w:t>
            </w:r>
            <w:r>
              <w:rPr>
                <w:rFonts w:hint="eastAsia"/>
                <w:spacing w:val="-4"/>
                <w:sz w:val="21"/>
                <w:szCs w:val="21"/>
                <w:lang w:val="en-US" w:eastAsia="zh-CN"/>
              </w:rPr>
              <w:t xml:space="preserve">  </w:t>
            </w:r>
            <w:r>
              <w:rPr>
                <w:spacing w:val="-4"/>
                <w:sz w:val="21"/>
                <w:szCs w:val="21"/>
              </w:rPr>
              <w:t xml:space="preserve"> </w:t>
            </w:r>
            <w:r>
              <w:rPr>
                <w:b/>
                <w:bCs/>
                <w:spacing w:val="-4"/>
                <w:sz w:val="21"/>
                <w:szCs w:val="21"/>
              </w:rPr>
              <w:t>与托克逊县一般生态空间“</w:t>
            </w:r>
            <w:r>
              <w:rPr>
                <w:rFonts w:hint="eastAsia"/>
                <w:b/>
                <w:bCs/>
                <w:spacing w:val="-4"/>
                <w:sz w:val="21"/>
                <w:szCs w:val="21"/>
                <w:lang w:eastAsia="zh-CN"/>
              </w:rPr>
              <w:t>生态环境分区管控单元</w:t>
            </w:r>
            <w:r>
              <w:rPr>
                <w:spacing w:val="-88"/>
                <w:sz w:val="21"/>
                <w:szCs w:val="21"/>
              </w:rPr>
              <w:t xml:space="preserve"> </w:t>
            </w:r>
            <w:r>
              <w:rPr>
                <w:b/>
                <w:bCs/>
                <w:spacing w:val="-4"/>
                <w:sz w:val="21"/>
                <w:szCs w:val="21"/>
              </w:rPr>
              <w:t>”符合性分析</w:t>
            </w:r>
          </w:p>
          <w:tbl>
            <w:tblPr>
              <w:tblStyle w:val="22"/>
              <w:tblW w:w="7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4334"/>
              <w:gridCol w:w="1933"/>
              <w:gridCol w:w="805"/>
            </w:tblGrid>
            <w:tr w14:paraId="1D4A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3" w:type="dxa"/>
                  <w:vAlign w:val="center"/>
                </w:tcPr>
                <w:p w14:paraId="689607C8">
                  <w:pPr>
                    <w:pStyle w:val="30"/>
                    <w:keepNext w:val="0"/>
                    <w:keepLines w:val="0"/>
                    <w:suppressLineNumbers w:val="0"/>
                    <w:spacing w:before="57" w:beforeAutospacing="0" w:after="0" w:afterAutospacing="0" w:line="240" w:lineRule="auto"/>
                    <w:ind w:left="0" w:right="9"/>
                    <w:jc w:val="center"/>
                    <w:rPr>
                      <w:spacing w:val="-4"/>
                      <w:sz w:val="21"/>
                      <w:szCs w:val="21"/>
                      <w:lang w:eastAsia="zh-CN"/>
                    </w:rPr>
                  </w:pPr>
                  <w:r>
                    <w:rPr>
                      <w:rFonts w:hint="eastAsia"/>
                      <w:spacing w:val="-4"/>
                      <w:sz w:val="21"/>
                      <w:szCs w:val="21"/>
                      <w:lang w:eastAsia="zh-CN"/>
                    </w:rPr>
                    <w:t>类别</w:t>
                  </w:r>
                </w:p>
              </w:tc>
              <w:tc>
                <w:tcPr>
                  <w:tcW w:w="4334" w:type="dxa"/>
                  <w:vAlign w:val="center"/>
                </w:tcPr>
                <w:p w14:paraId="50EBA945">
                  <w:pPr>
                    <w:pStyle w:val="30"/>
                    <w:keepNext w:val="0"/>
                    <w:keepLines w:val="0"/>
                    <w:suppressLineNumbers w:val="0"/>
                    <w:spacing w:before="57" w:beforeAutospacing="0" w:after="0" w:afterAutospacing="0" w:line="240" w:lineRule="auto"/>
                    <w:ind w:left="0" w:right="9"/>
                    <w:jc w:val="center"/>
                    <w:rPr>
                      <w:spacing w:val="-4"/>
                      <w:sz w:val="21"/>
                      <w:szCs w:val="21"/>
                      <w:lang w:eastAsia="zh-CN"/>
                    </w:rPr>
                  </w:pPr>
                  <w:r>
                    <w:rPr>
                      <w:rFonts w:hint="eastAsia"/>
                      <w:spacing w:val="-4"/>
                      <w:sz w:val="21"/>
                      <w:szCs w:val="21"/>
                      <w:lang w:eastAsia="zh-CN"/>
                    </w:rPr>
                    <w:t>要求</w:t>
                  </w:r>
                </w:p>
              </w:tc>
              <w:tc>
                <w:tcPr>
                  <w:tcW w:w="1933" w:type="dxa"/>
                  <w:vAlign w:val="center"/>
                </w:tcPr>
                <w:p w14:paraId="586AA9EB">
                  <w:pPr>
                    <w:pStyle w:val="30"/>
                    <w:keepNext w:val="0"/>
                    <w:keepLines w:val="0"/>
                    <w:suppressLineNumbers w:val="0"/>
                    <w:spacing w:before="57" w:beforeAutospacing="0" w:after="0" w:afterAutospacing="0" w:line="240" w:lineRule="auto"/>
                    <w:ind w:left="0" w:right="9"/>
                    <w:jc w:val="center"/>
                    <w:rPr>
                      <w:spacing w:val="-4"/>
                      <w:sz w:val="21"/>
                      <w:szCs w:val="21"/>
                      <w:lang w:eastAsia="zh-CN"/>
                    </w:rPr>
                  </w:pPr>
                  <w:r>
                    <w:rPr>
                      <w:rFonts w:hint="eastAsia"/>
                      <w:spacing w:val="-4"/>
                      <w:sz w:val="21"/>
                      <w:szCs w:val="21"/>
                      <w:lang w:eastAsia="zh-CN"/>
                    </w:rPr>
                    <w:t>建设项目</w:t>
                  </w:r>
                </w:p>
              </w:tc>
              <w:tc>
                <w:tcPr>
                  <w:tcW w:w="805" w:type="dxa"/>
                  <w:tcMar>
                    <w:left w:w="17" w:type="dxa"/>
                    <w:right w:w="17" w:type="dxa"/>
                  </w:tcMar>
                  <w:vAlign w:val="center"/>
                </w:tcPr>
                <w:p w14:paraId="05088501">
                  <w:pPr>
                    <w:pStyle w:val="30"/>
                    <w:keepNext w:val="0"/>
                    <w:keepLines w:val="0"/>
                    <w:suppressLineNumbers w:val="0"/>
                    <w:spacing w:before="57" w:beforeAutospacing="0" w:after="0" w:afterAutospacing="0"/>
                    <w:ind w:left="0" w:right="9"/>
                    <w:jc w:val="center"/>
                    <w:rPr>
                      <w:spacing w:val="-4"/>
                      <w:sz w:val="21"/>
                      <w:szCs w:val="21"/>
                      <w:lang w:eastAsia="zh-CN"/>
                    </w:rPr>
                  </w:pPr>
                  <w:r>
                    <w:rPr>
                      <w:rFonts w:hint="eastAsia"/>
                      <w:spacing w:val="-4"/>
                      <w:sz w:val="21"/>
                      <w:szCs w:val="21"/>
                      <w:lang w:eastAsia="zh-CN"/>
                    </w:rPr>
                    <w:t>相符性</w:t>
                  </w:r>
                </w:p>
              </w:tc>
            </w:tr>
            <w:tr w14:paraId="46ED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783" w:type="dxa"/>
                  <w:vAlign w:val="center"/>
                </w:tcPr>
                <w:p w14:paraId="69085E8E">
                  <w:pPr>
                    <w:pStyle w:val="30"/>
                    <w:keepNext w:val="0"/>
                    <w:keepLines w:val="0"/>
                    <w:suppressLineNumbers w:val="0"/>
                    <w:spacing w:before="57" w:beforeAutospacing="0" w:after="0" w:afterAutospacing="0" w:line="350" w:lineRule="auto"/>
                    <w:ind w:left="0" w:right="9"/>
                    <w:jc w:val="center"/>
                    <w:rPr>
                      <w:spacing w:val="-4"/>
                      <w:sz w:val="21"/>
                      <w:szCs w:val="21"/>
                      <w:lang w:eastAsia="zh-CN"/>
                    </w:rPr>
                  </w:pPr>
                  <w:r>
                    <w:rPr>
                      <w:rFonts w:hint="eastAsia"/>
                      <w:spacing w:val="-4"/>
                      <w:sz w:val="21"/>
                      <w:szCs w:val="21"/>
                      <w:lang w:eastAsia="zh-CN"/>
                    </w:rPr>
                    <w:t>空间布局约束</w:t>
                  </w:r>
                </w:p>
              </w:tc>
              <w:tc>
                <w:tcPr>
                  <w:tcW w:w="4334" w:type="dxa"/>
                  <w:vAlign w:val="center"/>
                </w:tcPr>
                <w:p w14:paraId="77525E60">
                  <w:pPr>
                    <w:pStyle w:val="30"/>
                    <w:keepNext w:val="0"/>
                    <w:keepLines w:val="0"/>
                    <w:suppressLineNumbers w:val="0"/>
                    <w:spacing w:before="57" w:beforeAutospacing="0" w:after="0" w:afterAutospacing="0" w:line="240" w:lineRule="auto"/>
                    <w:ind w:left="0" w:right="9"/>
                    <w:jc w:val="left"/>
                    <w:rPr>
                      <w:spacing w:val="-4"/>
                      <w:sz w:val="21"/>
                      <w:szCs w:val="21"/>
                    </w:rPr>
                  </w:pPr>
                  <w:r>
                    <w:rPr>
                      <w:rFonts w:ascii="Times New Roman" w:hAnsi="Times New Roman" w:cs="Times New Roman"/>
                      <w:spacing w:val="-4"/>
                      <w:sz w:val="21"/>
                      <w:szCs w:val="21"/>
                    </w:rPr>
                    <w:t>1</w:t>
                  </w:r>
                  <w:r>
                    <w:rPr>
                      <w:rFonts w:hint="eastAsia"/>
                      <w:spacing w:val="-4"/>
                      <w:sz w:val="21"/>
                      <w:szCs w:val="21"/>
                    </w:rPr>
                    <w:t>.原则上禁止建设涉及一类重金属、持久性有机污染物排放的工业项目。</w:t>
                  </w:r>
                </w:p>
                <w:p w14:paraId="0B824336">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2</w:t>
                  </w:r>
                  <w:r>
                    <w:rPr>
                      <w:rFonts w:hint="eastAsia"/>
                      <w:spacing w:val="-4"/>
                      <w:sz w:val="21"/>
                      <w:szCs w:val="21"/>
                    </w:rPr>
                    <w:t>.限制进行大规模高强度工业化、城镇化开发。按照自治区要求建立“两高”项目环评管理台账，严格执行环评审批原则和准入条件，落实主要污染物区域削减、煤炭消费减量替代等措施。</w:t>
                  </w:r>
                </w:p>
                <w:p w14:paraId="726B06CA">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3</w:t>
                  </w:r>
                  <w:r>
                    <w:rPr>
                      <w:rFonts w:hint="eastAsia"/>
                      <w:spacing w:val="-4"/>
                      <w:sz w:val="21"/>
                      <w:szCs w:val="21"/>
                    </w:rPr>
                    <w:t>.推进新能源的开发和利用，鼓励发展风力发电和太阳能发电。</w:t>
                  </w:r>
                </w:p>
                <w:p w14:paraId="0D7BFE18">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4</w:t>
                  </w:r>
                  <w:r>
                    <w:rPr>
                      <w:rFonts w:hint="eastAsia"/>
                      <w:spacing w:val="-4"/>
                      <w:sz w:val="21"/>
                      <w:szCs w:val="21"/>
                    </w:rPr>
                    <w:t>.建立集镇居住商业区、耕地保护区与工业功能区等集聚区块之间的防护带。</w:t>
                  </w:r>
                </w:p>
                <w:p w14:paraId="2555D207">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5</w:t>
                  </w:r>
                  <w:r>
                    <w:rPr>
                      <w:rFonts w:hint="eastAsia"/>
                      <w:spacing w:val="-4"/>
                      <w:sz w:val="21"/>
                      <w:szCs w:val="21"/>
                    </w:rPr>
                    <w:t>.严格执行畜禽养殖禁养区规定，根据区域用地和消纳水平，合理确定养殖规模。</w:t>
                  </w:r>
                </w:p>
                <w:p w14:paraId="366939E8">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6</w:t>
                  </w:r>
                  <w:r>
                    <w:rPr>
                      <w:rFonts w:hint="eastAsia"/>
                      <w:spacing w:val="-4"/>
                      <w:sz w:val="21"/>
                      <w:szCs w:val="21"/>
                    </w:rPr>
                    <w:t>.任何单位和个人不得改变或者占用基本农田保护区。国家能源、交通、水利、军事设施等重点建设项目选址确实无法避开基本农田保护区，需要占用基本农田，涉及农用地转用或者征收土地的，必须经国务院批准。</w:t>
                  </w:r>
                </w:p>
                <w:p w14:paraId="1EB50E0B">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7</w:t>
                  </w:r>
                  <w:r>
                    <w:rPr>
                      <w:rFonts w:hint="eastAsia"/>
                      <w:spacing w:val="-4"/>
                      <w:sz w:val="21"/>
                      <w:szCs w:val="21"/>
                    </w:rPr>
                    <w:t>.禁止任何单位和个人在基本农田保护区内建窑、建房、建坟、挖砂、采石、采矿、取土、堆放固体废弃物或者进行其他破坏基本农田的活动。禁止任何单位和个人占用基本农田发展林果业和挖塘养鱼。</w:t>
                  </w:r>
                </w:p>
              </w:tc>
              <w:tc>
                <w:tcPr>
                  <w:tcW w:w="1933" w:type="dxa"/>
                  <w:vAlign w:val="center"/>
                </w:tcPr>
                <w:p w14:paraId="46D862A5">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spacing w:val="-13"/>
                      <w:sz w:val="21"/>
                      <w:szCs w:val="21"/>
                      <w:lang w:eastAsia="zh-CN"/>
                    </w:rPr>
                    <w:t>本</w:t>
                  </w:r>
                  <w:r>
                    <w:rPr>
                      <w:rFonts w:hint="eastAsia"/>
                      <w:spacing w:val="-13"/>
                      <w:sz w:val="21"/>
                      <w:szCs w:val="21"/>
                    </w:rPr>
                    <w:t>项目为清</w:t>
                  </w:r>
                  <w:r>
                    <w:rPr>
                      <w:rFonts w:hint="eastAsia"/>
                      <w:spacing w:val="11"/>
                      <w:sz w:val="21"/>
                      <w:szCs w:val="21"/>
                    </w:rPr>
                    <w:t>洁能源发电项目配套送</w:t>
                  </w:r>
                  <w:r>
                    <w:rPr>
                      <w:rFonts w:hint="eastAsia"/>
                      <w:spacing w:val="-12"/>
                      <w:sz w:val="21"/>
                      <w:szCs w:val="21"/>
                    </w:rPr>
                    <w:t>出线路，采取有效措施防</w:t>
                  </w:r>
                  <w:r>
                    <w:rPr>
                      <w:rFonts w:hint="eastAsia"/>
                      <w:spacing w:val="-7"/>
                      <w:sz w:val="21"/>
                      <w:szCs w:val="21"/>
                    </w:rPr>
                    <w:t>治施工期大气、水污染，</w:t>
                  </w:r>
                  <w:r>
                    <w:rPr>
                      <w:rFonts w:hint="eastAsia"/>
                      <w:spacing w:val="11"/>
                      <w:sz w:val="21"/>
                      <w:szCs w:val="21"/>
                    </w:rPr>
                    <w:t>项目不涉及饮用水水源</w:t>
                  </w:r>
                  <w:r>
                    <w:rPr>
                      <w:rFonts w:hint="eastAsia"/>
                      <w:spacing w:val="-12"/>
                      <w:sz w:val="21"/>
                      <w:szCs w:val="21"/>
                    </w:rPr>
                    <w:t>地保护区、不涉及森林公园、湿地公园和其他保护区，本项目为输变电线路</w:t>
                  </w:r>
                  <w:r>
                    <w:rPr>
                      <w:rFonts w:hint="eastAsia"/>
                      <w:spacing w:val="-12"/>
                      <w:sz w:val="21"/>
                      <w:szCs w:val="21"/>
                      <w:lang w:eastAsia="zh-CN"/>
                    </w:rPr>
                    <w:t>及升压站</w:t>
                  </w:r>
                  <w:r>
                    <w:rPr>
                      <w:rFonts w:hint="eastAsia"/>
                      <w:spacing w:val="-12"/>
                      <w:sz w:val="21"/>
                      <w:szCs w:val="21"/>
                    </w:rPr>
                    <w:t>工程，不涉及一类重金属及持久性污染物排放，不</w:t>
                  </w:r>
                  <w:r>
                    <w:rPr>
                      <w:rFonts w:hint="eastAsia"/>
                      <w:spacing w:val="-15"/>
                      <w:sz w:val="21"/>
                      <w:szCs w:val="21"/>
                    </w:rPr>
                    <w:t>属于“两高</w:t>
                  </w:r>
                  <w:r>
                    <w:rPr>
                      <w:rFonts w:hint="eastAsia"/>
                      <w:spacing w:val="-86"/>
                      <w:sz w:val="21"/>
                      <w:szCs w:val="21"/>
                    </w:rPr>
                    <w:t xml:space="preserve"> </w:t>
                  </w:r>
                  <w:r>
                    <w:rPr>
                      <w:rFonts w:hint="eastAsia"/>
                      <w:spacing w:val="-15"/>
                      <w:sz w:val="21"/>
                      <w:szCs w:val="21"/>
                    </w:rPr>
                    <w:t>”项目，不占</w:t>
                  </w:r>
                  <w:r>
                    <w:rPr>
                      <w:rFonts w:hint="eastAsia"/>
                      <w:spacing w:val="-12"/>
                      <w:sz w:val="21"/>
                      <w:szCs w:val="21"/>
                    </w:rPr>
                    <w:t>用基本农田。满足空间</w:t>
                  </w:r>
                  <w:r>
                    <w:rPr>
                      <w:rFonts w:hint="eastAsia"/>
                      <w:spacing w:val="-2"/>
                      <w:sz w:val="21"/>
                      <w:szCs w:val="21"/>
                    </w:rPr>
                    <w:t>布局约束准入要求。</w:t>
                  </w:r>
                </w:p>
              </w:tc>
              <w:tc>
                <w:tcPr>
                  <w:tcW w:w="805" w:type="dxa"/>
                  <w:vAlign w:val="center"/>
                </w:tcPr>
                <w:p w14:paraId="6398D1E1">
                  <w:pPr>
                    <w:pStyle w:val="30"/>
                    <w:keepNext w:val="0"/>
                    <w:keepLines w:val="0"/>
                    <w:suppressLineNumbers w:val="0"/>
                    <w:spacing w:before="57" w:beforeAutospacing="0" w:after="0" w:afterAutospacing="0" w:line="350" w:lineRule="auto"/>
                    <w:ind w:left="0" w:right="9"/>
                    <w:jc w:val="center"/>
                    <w:rPr>
                      <w:spacing w:val="-4"/>
                      <w:sz w:val="21"/>
                      <w:szCs w:val="21"/>
                      <w:lang w:eastAsia="zh-CN"/>
                    </w:rPr>
                  </w:pPr>
                  <w:r>
                    <w:rPr>
                      <w:rFonts w:hint="eastAsia"/>
                      <w:spacing w:val="-4"/>
                      <w:sz w:val="21"/>
                      <w:szCs w:val="21"/>
                      <w:lang w:eastAsia="zh-CN"/>
                    </w:rPr>
                    <w:t>符合</w:t>
                  </w:r>
                </w:p>
              </w:tc>
            </w:tr>
            <w:tr w14:paraId="3780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32D0D97C">
                  <w:pPr>
                    <w:pStyle w:val="30"/>
                    <w:keepNext w:val="0"/>
                    <w:keepLines w:val="0"/>
                    <w:suppressLineNumbers w:val="0"/>
                    <w:spacing w:before="57" w:beforeAutospacing="0" w:after="0" w:afterAutospacing="0" w:line="350" w:lineRule="auto"/>
                    <w:ind w:left="0" w:right="9"/>
                    <w:jc w:val="center"/>
                    <w:rPr>
                      <w:spacing w:val="-4"/>
                      <w:sz w:val="21"/>
                      <w:szCs w:val="21"/>
                    </w:rPr>
                  </w:pPr>
                  <w:r>
                    <w:rPr>
                      <w:rFonts w:hint="eastAsia"/>
                      <w:spacing w:val="-6"/>
                      <w:sz w:val="21"/>
                      <w:szCs w:val="21"/>
                    </w:rPr>
                    <w:t>污染</w:t>
                  </w:r>
                  <w:r>
                    <w:rPr>
                      <w:rFonts w:hint="eastAsia"/>
                      <w:spacing w:val="-5"/>
                      <w:sz w:val="21"/>
                      <w:szCs w:val="21"/>
                    </w:rPr>
                    <w:t>排放控制</w:t>
                  </w:r>
                </w:p>
              </w:tc>
              <w:tc>
                <w:tcPr>
                  <w:tcW w:w="4334" w:type="dxa"/>
                  <w:vAlign w:val="center"/>
                </w:tcPr>
                <w:p w14:paraId="117F0CE1">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1</w:t>
                  </w:r>
                  <w:r>
                    <w:rPr>
                      <w:rFonts w:hint="eastAsia"/>
                      <w:spacing w:val="-4"/>
                      <w:sz w:val="21"/>
                      <w:szCs w:val="21"/>
                    </w:rPr>
                    <w:t>.加强农业面源污染治理，科学合理使用化肥农药，逐步削减农业面源污染物排放量。</w:t>
                  </w:r>
                </w:p>
                <w:p w14:paraId="69B5BBBE">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ascii="Times New Roman" w:hAnsi="Times New Roman" w:cs="Times New Roman"/>
                      <w:spacing w:val="-4"/>
                      <w:sz w:val="21"/>
                      <w:szCs w:val="21"/>
                    </w:rPr>
                    <w:t>2</w:t>
                  </w:r>
                  <w:r>
                    <w:rPr>
                      <w:rFonts w:hint="eastAsia"/>
                      <w:spacing w:val="-4"/>
                      <w:sz w:val="21"/>
                      <w:szCs w:val="21"/>
                    </w:rPr>
                    <w:t>.加强矿产资源开采的环境保护工作。</w:t>
                  </w:r>
                </w:p>
              </w:tc>
              <w:tc>
                <w:tcPr>
                  <w:tcW w:w="1933" w:type="dxa"/>
                  <w:vAlign w:val="center"/>
                </w:tcPr>
                <w:p w14:paraId="1FFE5DEC">
                  <w:pPr>
                    <w:pStyle w:val="30"/>
                    <w:keepNext w:val="0"/>
                    <w:keepLines w:val="0"/>
                    <w:suppressLineNumbers w:val="0"/>
                    <w:spacing w:before="57" w:beforeAutospacing="0" w:after="0" w:afterAutospacing="0" w:line="240" w:lineRule="auto"/>
                    <w:ind w:left="0" w:right="9"/>
                    <w:jc w:val="left"/>
                    <w:rPr>
                      <w:spacing w:val="-4"/>
                      <w:sz w:val="21"/>
                      <w:szCs w:val="21"/>
                      <w:lang w:eastAsia="zh-CN"/>
                    </w:rPr>
                  </w:pPr>
                  <w:r>
                    <w:rPr>
                      <w:rFonts w:hint="eastAsia"/>
                      <w:spacing w:val="-14"/>
                      <w:sz w:val="21"/>
                      <w:szCs w:val="21"/>
                    </w:rPr>
                    <w:t>本项目运营无废气产生。对区域环境空气</w:t>
                  </w:r>
                  <w:r>
                    <w:rPr>
                      <w:rFonts w:hint="eastAsia"/>
                      <w:spacing w:val="9"/>
                      <w:sz w:val="21"/>
                      <w:szCs w:val="21"/>
                    </w:rPr>
                    <w:t>质量无较大影</w:t>
                  </w:r>
                  <w:r>
                    <w:rPr>
                      <w:rFonts w:hint="eastAsia"/>
                      <w:spacing w:val="-14"/>
                      <w:sz w:val="21"/>
                      <w:szCs w:val="21"/>
                    </w:rPr>
                    <w:t>响。</w:t>
                  </w:r>
                  <w:r>
                    <w:rPr>
                      <w:rFonts w:hint="eastAsia"/>
                      <w:spacing w:val="-14"/>
                      <w:sz w:val="21"/>
                      <w:szCs w:val="21"/>
                      <w:lang w:eastAsia="zh-CN"/>
                    </w:rPr>
                    <w:t>且本项目不属于农业和矿产资源开采业。</w:t>
                  </w:r>
                </w:p>
              </w:tc>
              <w:tc>
                <w:tcPr>
                  <w:tcW w:w="805" w:type="dxa"/>
                  <w:vAlign w:val="center"/>
                </w:tcPr>
                <w:p w14:paraId="54A0FBC8">
                  <w:pPr>
                    <w:pStyle w:val="30"/>
                    <w:keepNext w:val="0"/>
                    <w:keepLines w:val="0"/>
                    <w:suppressLineNumbers w:val="0"/>
                    <w:spacing w:before="57" w:beforeAutospacing="0" w:after="0" w:afterAutospacing="0" w:line="350" w:lineRule="auto"/>
                    <w:ind w:left="0" w:right="9"/>
                    <w:jc w:val="center"/>
                    <w:rPr>
                      <w:spacing w:val="-4"/>
                      <w:sz w:val="21"/>
                      <w:szCs w:val="21"/>
                    </w:rPr>
                  </w:pPr>
                  <w:r>
                    <w:rPr>
                      <w:rFonts w:hint="eastAsia"/>
                      <w:spacing w:val="-4"/>
                      <w:sz w:val="21"/>
                      <w:szCs w:val="21"/>
                      <w:lang w:eastAsia="zh-CN"/>
                    </w:rPr>
                    <w:t>符合</w:t>
                  </w:r>
                </w:p>
              </w:tc>
            </w:tr>
            <w:tr w14:paraId="728E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0E678972">
                  <w:pPr>
                    <w:pStyle w:val="30"/>
                    <w:keepNext w:val="0"/>
                    <w:keepLines w:val="0"/>
                    <w:suppressLineNumbers w:val="0"/>
                    <w:spacing w:before="57" w:beforeAutospacing="0" w:after="0" w:afterAutospacing="0" w:line="350" w:lineRule="auto"/>
                    <w:ind w:left="0" w:right="9"/>
                    <w:jc w:val="center"/>
                    <w:rPr>
                      <w:spacing w:val="-4"/>
                      <w:sz w:val="21"/>
                      <w:szCs w:val="21"/>
                    </w:rPr>
                  </w:pPr>
                  <w:r>
                    <w:rPr>
                      <w:rFonts w:hint="eastAsia"/>
                      <w:spacing w:val="-5"/>
                      <w:sz w:val="21"/>
                      <w:szCs w:val="21"/>
                    </w:rPr>
                    <w:t>环境</w:t>
                  </w:r>
                  <w:r>
                    <w:rPr>
                      <w:rFonts w:hint="eastAsia"/>
                      <w:spacing w:val="-6"/>
                      <w:sz w:val="21"/>
                      <w:szCs w:val="21"/>
                    </w:rPr>
                    <w:t>风险管控</w:t>
                  </w:r>
                </w:p>
              </w:tc>
              <w:tc>
                <w:tcPr>
                  <w:tcW w:w="4334" w:type="dxa"/>
                  <w:vAlign w:val="center"/>
                </w:tcPr>
                <w:p w14:paraId="27A43AB4">
                  <w:pPr>
                    <w:pStyle w:val="30"/>
                    <w:keepNext w:val="0"/>
                    <w:keepLines w:val="0"/>
                    <w:suppressLineNumbers w:val="0"/>
                    <w:spacing w:before="57" w:beforeAutospacing="0" w:after="0" w:afterAutospacing="0" w:line="240" w:lineRule="auto"/>
                    <w:ind w:left="0" w:right="9"/>
                    <w:jc w:val="left"/>
                    <w:rPr>
                      <w:spacing w:val="-4"/>
                      <w:sz w:val="21"/>
                      <w:szCs w:val="21"/>
                    </w:rPr>
                  </w:pPr>
                  <w:r>
                    <w:rPr>
                      <w:rFonts w:hint="eastAsia"/>
                      <w:spacing w:val="3"/>
                      <w:sz w:val="21"/>
                      <w:szCs w:val="21"/>
                    </w:rPr>
                    <w:t>禁止向农用地排放重金属或者其他有毒有害物质含量超标的污水、污泥，以及可能造成土壤污染的尾矿、矿渣等。加强农田土壤、灌溉水的监测及评价，对周边或区域环境风险源</w:t>
                  </w:r>
                  <w:r>
                    <w:rPr>
                      <w:rFonts w:hint="eastAsia"/>
                      <w:spacing w:val="-2"/>
                      <w:sz w:val="21"/>
                      <w:szCs w:val="21"/>
                    </w:rPr>
                    <w:t>进行评估。</w:t>
                  </w:r>
                </w:p>
              </w:tc>
              <w:tc>
                <w:tcPr>
                  <w:tcW w:w="1933" w:type="dxa"/>
                  <w:shd w:val="clear" w:color="auto" w:fill="auto"/>
                  <w:vAlign w:val="center"/>
                </w:tcPr>
                <w:p w14:paraId="417B92FA">
                  <w:pPr>
                    <w:pStyle w:val="30"/>
                    <w:keepNext w:val="0"/>
                    <w:keepLines w:val="0"/>
                    <w:suppressLineNumbers w:val="0"/>
                    <w:spacing w:before="78" w:beforeAutospacing="0" w:after="0" w:afterAutospacing="0" w:line="240" w:lineRule="auto"/>
                    <w:ind w:left="0" w:right="0"/>
                    <w:jc w:val="left"/>
                    <w:rPr>
                      <w:sz w:val="21"/>
                      <w:szCs w:val="21"/>
                    </w:rPr>
                  </w:pPr>
                  <w:r>
                    <w:rPr>
                      <w:rFonts w:hint="eastAsia"/>
                      <w:sz w:val="21"/>
                      <w:szCs w:val="21"/>
                    </w:rPr>
                    <w:t>本项目无重金属或者其他有毒有害物质含量超标的污水、污泥，以及可能造成土壤污染的尾矿、矿渣等</w:t>
                  </w:r>
                  <w:r>
                    <w:rPr>
                      <w:rFonts w:hint="eastAsia"/>
                      <w:sz w:val="21"/>
                      <w:szCs w:val="21"/>
                      <w:lang w:eastAsia="zh-CN"/>
                    </w:rPr>
                    <w:t>排放</w:t>
                  </w:r>
                  <w:r>
                    <w:rPr>
                      <w:rFonts w:hint="eastAsia"/>
                      <w:sz w:val="21"/>
                      <w:szCs w:val="21"/>
                    </w:rPr>
                    <w:t>。</w:t>
                  </w:r>
                </w:p>
              </w:tc>
              <w:tc>
                <w:tcPr>
                  <w:tcW w:w="805" w:type="dxa"/>
                  <w:shd w:val="clear" w:color="auto" w:fill="auto"/>
                  <w:vAlign w:val="center"/>
                </w:tcPr>
                <w:p w14:paraId="34C8F68E">
                  <w:pPr>
                    <w:keepNext w:val="0"/>
                    <w:keepLines w:val="0"/>
                    <w:suppressLineNumbers w:val="0"/>
                    <w:spacing w:before="0" w:beforeAutospacing="0" w:after="0" w:afterAutospacing="0" w:line="297" w:lineRule="auto"/>
                    <w:ind w:left="0" w:right="0"/>
                    <w:rPr>
                      <w:rFonts w:ascii="宋体" w:hAnsi="宋体" w:cs="宋体"/>
                      <w:szCs w:val="21"/>
                    </w:rPr>
                  </w:pPr>
                </w:p>
                <w:p w14:paraId="26D34F48">
                  <w:pPr>
                    <w:pStyle w:val="30"/>
                    <w:keepNext w:val="0"/>
                    <w:keepLines w:val="0"/>
                    <w:suppressLineNumbers w:val="0"/>
                    <w:spacing w:before="78" w:beforeAutospacing="0" w:after="0" w:afterAutospacing="0" w:line="219" w:lineRule="auto"/>
                    <w:ind w:left="68" w:right="0"/>
                    <w:rPr>
                      <w:sz w:val="21"/>
                      <w:szCs w:val="21"/>
                    </w:rPr>
                  </w:pPr>
                  <w:r>
                    <w:rPr>
                      <w:rFonts w:hint="eastAsia"/>
                      <w:spacing w:val="-6"/>
                      <w:sz w:val="21"/>
                      <w:szCs w:val="21"/>
                    </w:rPr>
                    <w:t>符合</w:t>
                  </w:r>
                </w:p>
              </w:tc>
            </w:tr>
            <w:tr w14:paraId="24ED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2F49C396">
                  <w:pPr>
                    <w:pStyle w:val="30"/>
                    <w:keepNext w:val="0"/>
                    <w:keepLines w:val="0"/>
                    <w:suppressLineNumbers w:val="0"/>
                    <w:spacing w:before="57" w:beforeAutospacing="0" w:after="0" w:afterAutospacing="0" w:line="350" w:lineRule="auto"/>
                    <w:ind w:left="0" w:right="9"/>
                    <w:jc w:val="center"/>
                    <w:rPr>
                      <w:spacing w:val="-5"/>
                      <w:sz w:val="21"/>
                      <w:szCs w:val="21"/>
                      <w:lang w:eastAsia="zh-CN"/>
                    </w:rPr>
                  </w:pPr>
                  <w:r>
                    <w:rPr>
                      <w:rFonts w:hint="eastAsia"/>
                      <w:spacing w:val="-5"/>
                      <w:sz w:val="21"/>
                      <w:szCs w:val="21"/>
                      <w:lang w:eastAsia="zh-CN"/>
                    </w:rPr>
                    <w:t>资源利用效率</w:t>
                  </w:r>
                </w:p>
              </w:tc>
              <w:tc>
                <w:tcPr>
                  <w:tcW w:w="4334" w:type="dxa"/>
                  <w:vAlign w:val="center"/>
                </w:tcPr>
                <w:p w14:paraId="43E80B78">
                  <w:pPr>
                    <w:pStyle w:val="30"/>
                    <w:keepNext w:val="0"/>
                    <w:keepLines w:val="0"/>
                    <w:suppressLineNumbers w:val="0"/>
                    <w:spacing w:before="57" w:beforeAutospacing="0" w:after="0" w:afterAutospacing="0"/>
                    <w:ind w:left="0" w:right="9"/>
                    <w:jc w:val="left"/>
                    <w:rPr>
                      <w:spacing w:val="3"/>
                      <w:sz w:val="21"/>
                      <w:szCs w:val="21"/>
                    </w:rPr>
                  </w:pPr>
                  <w:r>
                    <w:rPr>
                      <w:rFonts w:hint="eastAsia"/>
                      <w:spacing w:val="3"/>
                      <w:sz w:val="21"/>
                      <w:szCs w:val="21"/>
                    </w:rPr>
                    <w:t>实行水资源消耗总量和强度双控，推进农业节水，提高农业用水效率。优化能源结构，加强能源清洁利用</w:t>
                  </w:r>
                </w:p>
              </w:tc>
              <w:tc>
                <w:tcPr>
                  <w:tcW w:w="1933" w:type="dxa"/>
                  <w:shd w:val="clear" w:color="auto" w:fill="auto"/>
                  <w:vAlign w:val="center"/>
                </w:tcPr>
                <w:p w14:paraId="0889165F">
                  <w:pPr>
                    <w:pStyle w:val="30"/>
                    <w:keepNext w:val="0"/>
                    <w:keepLines w:val="0"/>
                    <w:suppressLineNumbers w:val="0"/>
                    <w:spacing w:before="78" w:beforeAutospacing="0" w:after="0" w:afterAutospacing="0"/>
                    <w:ind w:left="0" w:right="0"/>
                    <w:jc w:val="left"/>
                    <w:rPr>
                      <w:sz w:val="21"/>
                      <w:szCs w:val="21"/>
                      <w:lang w:eastAsia="zh-CN"/>
                    </w:rPr>
                  </w:pPr>
                  <w:r>
                    <w:rPr>
                      <w:rFonts w:hint="eastAsia"/>
                      <w:sz w:val="21"/>
                      <w:szCs w:val="21"/>
                      <w:lang w:eastAsia="zh-CN"/>
                    </w:rPr>
                    <w:t>本项目水资源利用较少，且本项目为输变电项目，属于清洁能源（电力）输送项目。</w:t>
                  </w:r>
                </w:p>
              </w:tc>
              <w:tc>
                <w:tcPr>
                  <w:tcW w:w="805" w:type="dxa"/>
                  <w:shd w:val="clear" w:color="auto" w:fill="auto"/>
                  <w:vAlign w:val="center"/>
                </w:tcPr>
                <w:p w14:paraId="4B122FD8">
                  <w:pPr>
                    <w:pStyle w:val="30"/>
                    <w:keepNext w:val="0"/>
                    <w:keepLines w:val="0"/>
                    <w:suppressLineNumbers w:val="0"/>
                    <w:spacing w:before="78" w:beforeAutospacing="0" w:after="0" w:afterAutospacing="0" w:line="219" w:lineRule="auto"/>
                    <w:ind w:left="68" w:right="0"/>
                    <w:rPr>
                      <w:spacing w:val="-6"/>
                      <w:sz w:val="21"/>
                      <w:szCs w:val="21"/>
                      <w:lang w:eastAsia="zh-CN"/>
                    </w:rPr>
                  </w:pPr>
                  <w:r>
                    <w:rPr>
                      <w:rFonts w:hint="eastAsia"/>
                      <w:spacing w:val="-6"/>
                      <w:sz w:val="21"/>
                      <w:szCs w:val="21"/>
                      <w:lang w:eastAsia="zh-CN"/>
                    </w:rPr>
                    <w:t>符合</w:t>
                  </w:r>
                </w:p>
              </w:tc>
            </w:tr>
          </w:tbl>
          <w:p w14:paraId="7928F985">
            <w:pPr>
              <w:keepNext w:val="0"/>
              <w:keepLines w:val="0"/>
              <w:suppressLineNumbers w:val="0"/>
              <w:autoSpaceDE w:val="0"/>
              <w:autoSpaceDN w:val="0"/>
              <w:adjustRightInd w:val="0"/>
              <w:snapToGrid w:val="0"/>
              <w:spacing w:before="0" w:beforeAutospacing="0" w:after="0" w:afterAutospacing="0" w:line="400" w:lineRule="exact"/>
              <w:ind w:left="0" w:right="0"/>
              <w:jc w:val="left"/>
              <w:rPr>
                <w:b/>
                <w:bCs/>
                <w:sz w:val="24"/>
              </w:rPr>
            </w:pPr>
          </w:p>
        </w:tc>
      </w:tr>
    </w:tbl>
    <w:p w14:paraId="0B0B8830">
      <w:pPr>
        <w:sectPr>
          <w:footerReference r:id="rId4" w:type="default"/>
          <w:pgSz w:w="11906" w:h="16839"/>
          <w:pgMar w:top="1440" w:right="1803" w:bottom="1440" w:left="1803" w:header="0" w:footer="1115" w:gutter="0"/>
          <w:pgNumType w:start="1"/>
          <w:cols w:space="720" w:num="1"/>
        </w:sectPr>
      </w:pPr>
    </w:p>
    <w:p w14:paraId="0ED63307">
      <w:pPr>
        <w:widowControl/>
        <w:kinsoku w:val="0"/>
        <w:autoSpaceDE w:val="0"/>
        <w:autoSpaceDN w:val="0"/>
        <w:adjustRightInd w:val="0"/>
        <w:snapToGrid w:val="0"/>
        <w:spacing w:before="98" w:line="222" w:lineRule="auto"/>
        <w:jc w:val="center"/>
        <w:textAlignment w:val="baseline"/>
        <w:outlineLvl w:val="0"/>
        <w:rPr>
          <w:rFonts w:ascii="黑体" w:hAnsi="黑体" w:eastAsia="黑体" w:cs="黑体"/>
          <w:snapToGrid w:val="0"/>
          <w:color w:val="000000"/>
          <w:spacing w:val="-3"/>
          <w:kern w:val="0"/>
          <w:sz w:val="30"/>
          <w:szCs w:val="30"/>
        </w:rPr>
      </w:pPr>
      <w:r>
        <w:rPr>
          <w:rFonts w:hint="eastAsia" w:ascii="黑体" w:hAnsi="黑体" w:eastAsia="黑体" w:cs="黑体"/>
          <w:snapToGrid w:val="0"/>
          <w:color w:val="000000"/>
          <w:spacing w:val="-3"/>
          <w:kern w:val="0"/>
          <w:sz w:val="30"/>
          <w:szCs w:val="30"/>
        </w:rPr>
        <w:t>二、建设内容</w:t>
      </w:r>
    </w:p>
    <w:tbl>
      <w:tblPr>
        <w:tblStyle w:val="22"/>
        <w:tblW w:w="9550" w:type="dxa"/>
        <w:tblInd w:w="-6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842"/>
      </w:tblGrid>
      <w:tr w14:paraId="0E48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708" w:type="dxa"/>
            <w:vAlign w:val="center"/>
          </w:tcPr>
          <w:p w14:paraId="10D6A5DC">
            <w:pPr>
              <w:pStyle w:val="4"/>
              <w:keepNext w:val="0"/>
              <w:numPr>
                <w:ilvl w:val="2"/>
                <w:numId w:val="0"/>
              </w:numPr>
              <w:suppressLineNumbers w:val="0"/>
              <w:tabs>
                <w:tab w:val="clear" w:pos="720"/>
              </w:tabs>
              <w:spacing w:before="0" w:beforeAutospacing="0" w:after="0" w:afterAutospacing="0"/>
              <w:ind w:left="0" w:right="0"/>
              <w:outlineLvl w:val="2"/>
            </w:pPr>
            <w:r>
              <w:rPr>
                <w:rFonts w:hint="eastAsia"/>
                <w:sz w:val="24"/>
                <w:szCs w:val="24"/>
              </w:rPr>
              <w:t>地理位置</w:t>
            </w:r>
          </w:p>
        </w:tc>
        <w:tc>
          <w:tcPr>
            <w:tcW w:w="8842" w:type="dxa"/>
            <w:vAlign w:val="center"/>
          </w:tcPr>
          <w:p w14:paraId="4D18046A">
            <w:pPr>
              <w:pStyle w:val="4"/>
              <w:keepNext w:val="0"/>
              <w:numPr>
                <w:ilvl w:val="2"/>
                <w:numId w:val="0"/>
              </w:numPr>
              <w:suppressLineNumbers w:val="0"/>
              <w:tabs>
                <w:tab w:val="clear" w:pos="720"/>
              </w:tabs>
              <w:spacing w:before="0" w:beforeAutospacing="0" w:after="0" w:afterAutospacing="0"/>
              <w:ind w:left="0" w:right="0" w:firstLine="480" w:firstLineChars="200"/>
              <w:outlineLvl w:val="2"/>
            </w:pPr>
            <w:r>
              <w:rPr>
                <w:sz w:val="24"/>
                <w:szCs w:val="24"/>
              </w:rPr>
              <w:t>本项目新建</w:t>
            </w:r>
            <w:r>
              <w:rPr>
                <w:rFonts w:hint="eastAsia"/>
                <w:sz w:val="24"/>
                <w:szCs w:val="24"/>
              </w:rPr>
              <w:t>1座220kV升压站、20MW/40MW（10%/2h）储能电站、新建1回220kV送出工程（含对端库米什220千伏变电站扩建间隔），</w:t>
            </w:r>
            <w:r>
              <w:rPr>
                <w:sz w:val="24"/>
                <w:szCs w:val="24"/>
              </w:rPr>
              <w:t>位于新疆维吾尔自治区</w:t>
            </w:r>
            <w:r>
              <w:rPr>
                <w:rFonts w:hint="eastAsia"/>
                <w:sz w:val="24"/>
                <w:szCs w:val="24"/>
              </w:rPr>
              <w:t>吐鲁番市</w:t>
            </w:r>
            <w:r>
              <w:rPr>
                <w:spacing w:val="-1"/>
                <w:sz w:val="24"/>
                <w:szCs w:val="24"/>
              </w:rPr>
              <w:t>托克逊</w:t>
            </w:r>
            <w:r>
              <w:rPr>
                <w:color w:val="000000" w:themeColor="text1"/>
                <w:spacing w:val="-3"/>
                <w:sz w:val="24"/>
                <w:szCs w:val="24"/>
              </w:rPr>
              <w:t>县</w:t>
            </w:r>
            <w:r>
              <w:rPr>
                <w:rFonts w:hint="eastAsia"/>
                <w:color w:val="000000" w:themeColor="text1"/>
                <w:spacing w:val="-3"/>
                <w:sz w:val="24"/>
                <w:szCs w:val="24"/>
              </w:rPr>
              <w:t>库米什镇</w:t>
            </w:r>
            <w:r>
              <w:rPr>
                <w:color w:val="000000" w:themeColor="text1"/>
                <w:spacing w:val="-3"/>
                <w:sz w:val="24"/>
                <w:szCs w:val="24"/>
              </w:rPr>
              <w:t>境内。线路起于</w:t>
            </w:r>
            <w:r>
              <w:rPr>
                <w:rFonts w:hint="eastAsia" w:ascii="宋体" w:hAnsi="宋体" w:cs="宋体"/>
                <w:color w:val="000000" w:themeColor="text1"/>
                <w:spacing w:val="-3"/>
                <w:sz w:val="24"/>
                <w:szCs w:val="24"/>
              </w:rPr>
              <w:t>京能吐鲁番市托克逊县产业园区低碳转型光伏项目</w:t>
            </w:r>
            <w:r>
              <w:rPr>
                <w:rFonts w:eastAsia="Times New Roman"/>
                <w:color w:val="000000" w:themeColor="text1"/>
                <w:spacing w:val="-3"/>
                <w:sz w:val="24"/>
                <w:szCs w:val="24"/>
              </w:rPr>
              <w:t>220kV</w:t>
            </w:r>
            <w:r>
              <w:rPr>
                <w:color w:val="000000" w:themeColor="text1"/>
                <w:spacing w:val="-3"/>
                <w:sz w:val="24"/>
                <w:szCs w:val="24"/>
              </w:rPr>
              <w:t>升压站</w:t>
            </w:r>
            <w:r>
              <w:rPr>
                <w:color w:val="000000" w:themeColor="text1"/>
                <w:spacing w:val="-4"/>
                <w:sz w:val="24"/>
                <w:szCs w:val="24"/>
              </w:rPr>
              <w:t>至</w:t>
            </w:r>
            <w:r>
              <w:rPr>
                <w:rFonts w:hint="eastAsia" w:ascii="宋体" w:hAnsi="宋体" w:cs="宋体"/>
                <w:color w:val="000000" w:themeColor="text1"/>
                <w:spacing w:val="-3"/>
                <w:sz w:val="24"/>
                <w:szCs w:val="24"/>
              </w:rPr>
              <w:t>京能吐鲁番市托克逊县产业园区低碳转型光伏项目库米什</w:t>
            </w:r>
            <w:r>
              <w:rPr>
                <w:rFonts w:eastAsia="Times New Roman"/>
                <w:color w:val="000000" w:themeColor="text1"/>
                <w:spacing w:val="-3"/>
                <w:sz w:val="24"/>
                <w:szCs w:val="24"/>
              </w:rPr>
              <w:t>220kV</w:t>
            </w:r>
            <w:r>
              <w:rPr>
                <w:rFonts w:hint="eastAsia" w:ascii="宋体" w:hAnsi="宋体" w:cs="宋体"/>
                <w:color w:val="000000" w:themeColor="text1"/>
                <w:spacing w:val="-3"/>
                <w:sz w:val="24"/>
                <w:szCs w:val="24"/>
              </w:rPr>
              <w:t>变电站扩建间隔</w:t>
            </w:r>
            <w:r>
              <w:rPr>
                <w:color w:val="000000" w:themeColor="text1"/>
                <w:spacing w:val="-5"/>
                <w:sz w:val="24"/>
                <w:szCs w:val="24"/>
              </w:rPr>
              <w:t>，线路路径全长约</w:t>
            </w:r>
            <w:r>
              <w:rPr>
                <w:rFonts w:hint="eastAsia"/>
                <w:color w:val="000000" w:themeColor="text1"/>
                <w:spacing w:val="-5"/>
                <w:sz w:val="24"/>
                <w:szCs w:val="24"/>
                <w:lang w:val="en-US" w:eastAsia="zh-CN"/>
              </w:rPr>
              <w:t>7.84</w:t>
            </w:r>
            <w:r>
              <w:rPr>
                <w:spacing w:val="-5"/>
                <w:sz w:val="24"/>
                <w:szCs w:val="24"/>
              </w:rPr>
              <w:t>千米</w:t>
            </w:r>
            <w:r>
              <w:rPr>
                <w:rFonts w:hint="eastAsia"/>
                <w:spacing w:val="-5"/>
                <w:sz w:val="24"/>
                <w:szCs w:val="24"/>
              </w:rPr>
              <w:t>。</w:t>
            </w:r>
          </w:p>
        </w:tc>
      </w:tr>
      <w:tr w14:paraId="0DEA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14:paraId="7A2506C8">
            <w:pPr>
              <w:pStyle w:val="4"/>
              <w:keepNext w:val="0"/>
              <w:numPr>
                <w:ilvl w:val="2"/>
                <w:numId w:val="0"/>
              </w:numPr>
              <w:suppressLineNumbers w:val="0"/>
              <w:tabs>
                <w:tab w:val="clear" w:pos="720"/>
              </w:tabs>
              <w:spacing w:before="0" w:beforeAutospacing="0" w:after="0" w:afterAutospacing="0"/>
              <w:ind w:left="0" w:right="0"/>
              <w:outlineLvl w:val="2"/>
              <w:rPr>
                <w:sz w:val="24"/>
                <w:szCs w:val="24"/>
              </w:rPr>
            </w:pPr>
            <w:r>
              <w:rPr>
                <w:rFonts w:hint="eastAsia"/>
                <w:sz w:val="24"/>
                <w:szCs w:val="24"/>
              </w:rPr>
              <w:t>项目组成及规模</w:t>
            </w:r>
          </w:p>
        </w:tc>
        <w:tc>
          <w:tcPr>
            <w:tcW w:w="8842" w:type="dxa"/>
            <w:vAlign w:val="center"/>
          </w:tcPr>
          <w:p w14:paraId="49AC3EE4">
            <w:pPr>
              <w:pStyle w:val="30"/>
              <w:keepNext w:val="0"/>
              <w:keepLines w:val="0"/>
              <w:suppressLineNumbers w:val="0"/>
              <w:spacing w:before="198" w:beforeAutospacing="0" w:after="0" w:afterAutospacing="0" w:line="219" w:lineRule="auto"/>
              <w:ind w:left="0" w:right="0"/>
              <w:rPr>
                <w:b/>
                <w:bCs/>
                <w:spacing w:val="-2"/>
                <w:lang w:eastAsia="zh-CN"/>
              </w:rPr>
            </w:pPr>
            <w:r>
              <w:rPr>
                <w:rFonts w:hint="eastAsia"/>
                <w:b/>
                <w:bCs/>
                <w:spacing w:val="-2"/>
                <w:lang w:eastAsia="zh-CN"/>
              </w:rPr>
              <w:t>1、项目组成及概况</w:t>
            </w:r>
          </w:p>
          <w:p w14:paraId="76D51F30">
            <w:pPr>
              <w:pStyle w:val="30"/>
              <w:keepNext w:val="0"/>
              <w:keepLines w:val="0"/>
              <w:suppressLineNumbers w:val="0"/>
              <w:spacing w:before="198" w:beforeAutospacing="0" w:after="0" w:afterAutospacing="0" w:line="219" w:lineRule="auto"/>
              <w:ind w:left="0" w:right="0" w:firstLine="472" w:firstLineChars="200"/>
            </w:pPr>
            <w:r>
              <w:rPr>
                <w:spacing w:val="-2"/>
              </w:rPr>
              <w:t>本项目概况汇总，见表</w:t>
            </w:r>
            <w:r>
              <w:rPr>
                <w:spacing w:val="-30"/>
              </w:rPr>
              <w:t xml:space="preserve"> </w:t>
            </w:r>
            <w:r>
              <w:rPr>
                <w:rFonts w:ascii="Times New Roman" w:hAnsi="Times New Roman" w:cs="Times New Roman"/>
                <w:spacing w:val="-2"/>
              </w:rPr>
              <w:t>2-1</w:t>
            </w:r>
            <w:r>
              <w:rPr>
                <w:spacing w:val="-2"/>
              </w:rPr>
              <w:t>；</w:t>
            </w:r>
          </w:p>
          <w:p w14:paraId="79B1C0E9">
            <w:pPr>
              <w:pStyle w:val="30"/>
              <w:keepNext w:val="0"/>
              <w:keepLines w:val="0"/>
              <w:suppressLineNumbers w:val="0"/>
              <w:spacing w:before="78" w:beforeAutospacing="0" w:after="0" w:afterAutospacing="0" w:line="219" w:lineRule="auto"/>
              <w:ind w:left="0" w:right="0"/>
              <w:jc w:val="center"/>
              <w:rPr>
                <w:sz w:val="21"/>
                <w:szCs w:val="21"/>
              </w:rPr>
            </w:pPr>
            <w:r>
              <w:rPr>
                <w:b/>
                <w:bCs/>
                <w:spacing w:val="-2"/>
                <w:sz w:val="21"/>
                <w:szCs w:val="21"/>
              </w:rPr>
              <w:t>表</w:t>
            </w:r>
            <w:r>
              <w:rPr>
                <w:spacing w:val="-40"/>
                <w:sz w:val="21"/>
                <w:szCs w:val="21"/>
              </w:rPr>
              <w:t xml:space="preserve"> </w:t>
            </w:r>
            <w:r>
              <w:rPr>
                <w:rFonts w:ascii="Times New Roman" w:hAnsi="Times New Roman" w:cs="Times New Roman"/>
                <w:b/>
                <w:bCs/>
                <w:spacing w:val="-2"/>
                <w:sz w:val="21"/>
                <w:szCs w:val="21"/>
              </w:rPr>
              <w:t>2-1</w:t>
            </w:r>
            <w:r>
              <w:rPr>
                <w:spacing w:val="-2"/>
                <w:sz w:val="21"/>
                <w:szCs w:val="21"/>
              </w:rPr>
              <w:t xml:space="preserve">    </w:t>
            </w:r>
            <w:r>
              <w:rPr>
                <w:b/>
                <w:bCs/>
                <w:spacing w:val="-2"/>
                <w:sz w:val="21"/>
                <w:szCs w:val="21"/>
              </w:rPr>
              <w:t>本项目基本组成一览表</w:t>
            </w:r>
          </w:p>
          <w:p w14:paraId="387A28A8">
            <w:pPr>
              <w:keepNext w:val="0"/>
              <w:keepLines w:val="0"/>
              <w:suppressLineNumbers w:val="0"/>
              <w:spacing w:before="0" w:beforeAutospacing="0" w:after="0" w:afterAutospacing="0" w:line="19" w:lineRule="exact"/>
              <w:ind w:left="0" w:right="0"/>
            </w:pPr>
          </w:p>
          <w:tbl>
            <w:tblPr>
              <w:tblStyle w:val="31"/>
              <w:tblW w:w="87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426"/>
              <w:gridCol w:w="141"/>
              <w:gridCol w:w="110"/>
              <w:gridCol w:w="603"/>
              <w:gridCol w:w="6971"/>
            </w:tblGrid>
            <w:tr w14:paraId="06E88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710" w:type="dxa"/>
                  <w:gridSpan w:val="6"/>
                  <w:tcBorders>
                    <w:top w:val="single" w:color="auto" w:sz="4" w:space="0"/>
                    <w:left w:val="single" w:color="auto" w:sz="0" w:space="0"/>
                    <w:right w:val="single" w:color="auto" w:sz="4" w:space="0"/>
                  </w:tcBorders>
                  <w:vAlign w:val="center"/>
                </w:tcPr>
                <w:p w14:paraId="429D9689">
                  <w:pPr>
                    <w:pStyle w:val="30"/>
                    <w:spacing w:before="55" w:line="227" w:lineRule="auto"/>
                    <w:jc w:val="center"/>
                    <w:rPr>
                      <w:rFonts w:ascii="Times New Roman" w:hAnsi="Times New Roman" w:cs="Times New Roman"/>
                      <w:spacing w:val="9"/>
                      <w:sz w:val="21"/>
                      <w:szCs w:val="21"/>
                      <w:lang w:eastAsia="zh-CN"/>
                    </w:rPr>
                  </w:pPr>
                  <w:r>
                    <w:rPr>
                      <w:rFonts w:ascii="Times New Roman" w:hAnsi="Times New Roman" w:cs="Times New Roman"/>
                      <w:b/>
                      <w:bCs/>
                      <w:spacing w:val="6"/>
                      <w:sz w:val="21"/>
                      <w:szCs w:val="21"/>
                    </w:rPr>
                    <w:t>本项目概况</w:t>
                  </w:r>
                </w:p>
              </w:tc>
            </w:tr>
            <w:tr w14:paraId="0647F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739" w:type="dxa"/>
                  <w:gridSpan w:val="5"/>
                  <w:tcBorders>
                    <w:left w:val="single" w:color="auto" w:sz="4" w:space="0"/>
                  </w:tcBorders>
                  <w:vAlign w:val="center"/>
                </w:tcPr>
                <w:p w14:paraId="673D6779">
                  <w:pPr>
                    <w:pStyle w:val="30"/>
                    <w:spacing w:before="36" w:line="228" w:lineRule="auto"/>
                    <w:ind w:left="400"/>
                    <w:rPr>
                      <w:rFonts w:ascii="Times New Roman" w:hAnsi="Times New Roman" w:cs="Times New Roman"/>
                      <w:sz w:val="21"/>
                      <w:szCs w:val="21"/>
                    </w:rPr>
                  </w:pPr>
                  <w:r>
                    <w:rPr>
                      <w:rFonts w:ascii="Times New Roman" w:hAnsi="Times New Roman" w:cs="Times New Roman"/>
                      <w:spacing w:val="6"/>
                      <w:sz w:val="21"/>
                      <w:szCs w:val="21"/>
                    </w:rPr>
                    <w:t>项目名称</w:t>
                  </w:r>
                </w:p>
              </w:tc>
              <w:tc>
                <w:tcPr>
                  <w:tcW w:w="6971" w:type="dxa"/>
                  <w:tcBorders>
                    <w:right w:val="single" w:color="auto" w:sz="4" w:space="0"/>
                  </w:tcBorders>
                  <w:vAlign w:val="center"/>
                </w:tcPr>
                <w:p w14:paraId="7A67E136">
                  <w:pPr>
                    <w:pStyle w:val="30"/>
                    <w:spacing w:before="36" w:line="226" w:lineRule="auto"/>
                    <w:jc w:val="center"/>
                    <w:rPr>
                      <w:rFonts w:ascii="Times New Roman" w:hAnsi="Times New Roman" w:cs="Times New Roman"/>
                      <w:sz w:val="21"/>
                      <w:szCs w:val="21"/>
                    </w:rPr>
                  </w:pPr>
                  <w:r>
                    <w:rPr>
                      <w:rFonts w:ascii="Times New Roman" w:hAnsi="Times New Roman" w:cs="Times New Roman"/>
                      <w:spacing w:val="9"/>
                      <w:sz w:val="21"/>
                      <w:szCs w:val="21"/>
                      <w:lang w:eastAsia="zh-CN"/>
                    </w:rPr>
                    <w:t>京能吐鲁番市托克逊县产业园区低碳转型光伏项目220千伏输变电工程</w:t>
                  </w:r>
                </w:p>
              </w:tc>
            </w:tr>
            <w:tr w14:paraId="1B607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739" w:type="dxa"/>
                  <w:gridSpan w:val="5"/>
                  <w:tcBorders>
                    <w:left w:val="single" w:color="auto" w:sz="4" w:space="0"/>
                  </w:tcBorders>
                  <w:vAlign w:val="center"/>
                </w:tcPr>
                <w:p w14:paraId="445BBC29">
                  <w:pPr>
                    <w:pStyle w:val="30"/>
                    <w:spacing w:before="31" w:line="228" w:lineRule="auto"/>
                    <w:ind w:left="399"/>
                    <w:rPr>
                      <w:rFonts w:ascii="Times New Roman" w:hAnsi="Times New Roman" w:cs="Times New Roman"/>
                      <w:sz w:val="21"/>
                      <w:szCs w:val="21"/>
                    </w:rPr>
                  </w:pPr>
                  <w:r>
                    <w:rPr>
                      <w:rFonts w:ascii="Times New Roman" w:hAnsi="Times New Roman" w:cs="Times New Roman"/>
                      <w:spacing w:val="6"/>
                      <w:sz w:val="21"/>
                      <w:szCs w:val="21"/>
                    </w:rPr>
                    <w:t>建设性质</w:t>
                  </w:r>
                </w:p>
              </w:tc>
              <w:tc>
                <w:tcPr>
                  <w:tcW w:w="6971" w:type="dxa"/>
                  <w:tcBorders>
                    <w:right w:val="single" w:color="auto" w:sz="4" w:space="0"/>
                  </w:tcBorders>
                  <w:vAlign w:val="center"/>
                </w:tcPr>
                <w:p w14:paraId="04A2DD0F">
                  <w:pPr>
                    <w:pStyle w:val="30"/>
                    <w:spacing w:before="31" w:line="228" w:lineRule="auto"/>
                    <w:ind w:left="3108"/>
                    <w:rPr>
                      <w:rFonts w:ascii="Times New Roman" w:hAnsi="Times New Roman" w:cs="Times New Roman"/>
                      <w:sz w:val="21"/>
                      <w:szCs w:val="21"/>
                    </w:rPr>
                  </w:pPr>
                  <w:r>
                    <w:rPr>
                      <w:rFonts w:ascii="Times New Roman" w:hAnsi="Times New Roman" w:cs="Times New Roman"/>
                      <w:spacing w:val="4"/>
                      <w:sz w:val="21"/>
                      <w:szCs w:val="21"/>
                    </w:rPr>
                    <w:t>新建</w:t>
                  </w:r>
                </w:p>
              </w:tc>
            </w:tr>
            <w:tr w14:paraId="28600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739" w:type="dxa"/>
                  <w:gridSpan w:val="5"/>
                  <w:tcBorders>
                    <w:left w:val="single" w:color="auto" w:sz="4" w:space="0"/>
                  </w:tcBorders>
                  <w:vAlign w:val="center"/>
                </w:tcPr>
                <w:p w14:paraId="1E38C9BC">
                  <w:pPr>
                    <w:pStyle w:val="30"/>
                    <w:spacing w:before="32" w:line="228" w:lineRule="auto"/>
                    <w:ind w:left="399"/>
                    <w:rPr>
                      <w:rFonts w:ascii="Times New Roman" w:hAnsi="Times New Roman" w:cs="Times New Roman"/>
                      <w:sz w:val="21"/>
                      <w:szCs w:val="21"/>
                    </w:rPr>
                  </w:pPr>
                  <w:r>
                    <w:rPr>
                      <w:rFonts w:ascii="Times New Roman" w:hAnsi="Times New Roman" w:cs="Times New Roman"/>
                      <w:spacing w:val="6"/>
                      <w:sz w:val="21"/>
                      <w:szCs w:val="21"/>
                    </w:rPr>
                    <w:t>建设地点</w:t>
                  </w:r>
                </w:p>
              </w:tc>
              <w:tc>
                <w:tcPr>
                  <w:tcW w:w="6971" w:type="dxa"/>
                  <w:tcBorders>
                    <w:right w:val="single" w:color="auto" w:sz="4" w:space="0"/>
                  </w:tcBorders>
                  <w:vAlign w:val="center"/>
                </w:tcPr>
                <w:p w14:paraId="2F000F50">
                  <w:pPr>
                    <w:pStyle w:val="30"/>
                    <w:spacing w:before="32" w:line="227" w:lineRule="auto"/>
                    <w:jc w:val="center"/>
                    <w:rPr>
                      <w:rFonts w:ascii="Times New Roman" w:hAnsi="Times New Roman" w:cs="Times New Roman"/>
                      <w:sz w:val="21"/>
                      <w:szCs w:val="21"/>
                      <w:lang w:eastAsia="zh-CN"/>
                    </w:rPr>
                  </w:pPr>
                  <w:r>
                    <w:rPr>
                      <w:rFonts w:ascii="Times New Roman" w:hAnsi="Times New Roman" w:cs="Times New Roman"/>
                      <w:spacing w:val="9"/>
                      <w:sz w:val="21"/>
                      <w:szCs w:val="21"/>
                      <w:lang w:eastAsia="zh-CN"/>
                    </w:rPr>
                    <w:t>吐鲁番市</w:t>
                  </w:r>
                  <w:r>
                    <w:rPr>
                      <w:rFonts w:ascii="Times New Roman" w:hAnsi="Times New Roman" w:cs="Times New Roman"/>
                      <w:spacing w:val="9"/>
                      <w:sz w:val="21"/>
                      <w:szCs w:val="21"/>
                    </w:rPr>
                    <w:t>托</w:t>
                  </w:r>
                  <w:r>
                    <w:rPr>
                      <w:rFonts w:ascii="Times New Roman" w:hAnsi="Times New Roman" w:cs="Times New Roman"/>
                      <w:color w:val="000000" w:themeColor="text1"/>
                      <w:spacing w:val="9"/>
                      <w:sz w:val="21"/>
                      <w:szCs w:val="21"/>
                    </w:rPr>
                    <w:t>克逊县</w:t>
                  </w:r>
                  <w:r>
                    <w:rPr>
                      <w:rFonts w:hint="eastAsia" w:ascii="Times New Roman" w:hAnsi="Times New Roman" w:cs="Times New Roman"/>
                      <w:color w:val="000000" w:themeColor="text1"/>
                      <w:spacing w:val="9"/>
                      <w:sz w:val="21"/>
                      <w:szCs w:val="21"/>
                      <w:lang w:eastAsia="zh-CN"/>
                    </w:rPr>
                    <w:t>库米什镇</w:t>
                  </w:r>
                </w:p>
              </w:tc>
            </w:tr>
            <w:tr w14:paraId="32CE0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459" w:type="dxa"/>
                  <w:tcBorders>
                    <w:left w:val="single" w:color="auto" w:sz="4" w:space="0"/>
                  </w:tcBorders>
                  <w:vAlign w:val="center"/>
                </w:tcPr>
                <w:p w14:paraId="6196CAE3">
                  <w:pPr>
                    <w:pStyle w:val="30"/>
                    <w:spacing w:before="75" w:line="239" w:lineRule="auto"/>
                    <w:ind w:left="176" w:right="169" w:firstLine="2"/>
                    <w:rPr>
                      <w:rFonts w:ascii="Times New Roman" w:hAnsi="Times New Roman" w:cs="Times New Roman"/>
                      <w:sz w:val="21"/>
                      <w:szCs w:val="21"/>
                    </w:rPr>
                  </w:pPr>
                  <w:r>
                    <w:rPr>
                      <w:rFonts w:ascii="Times New Roman" w:hAnsi="Times New Roman" w:cs="Times New Roman"/>
                      <w:b/>
                      <w:bCs/>
                      <w:spacing w:val="2"/>
                      <w:sz w:val="21"/>
                      <w:szCs w:val="21"/>
                    </w:rPr>
                    <w:t>工程</w:t>
                  </w:r>
                  <w:r>
                    <w:rPr>
                      <w:rFonts w:ascii="Times New Roman" w:hAnsi="Times New Roman" w:cs="Times New Roman"/>
                      <w:b/>
                      <w:bCs/>
                      <w:spacing w:val="3"/>
                      <w:sz w:val="21"/>
                      <w:szCs w:val="21"/>
                    </w:rPr>
                    <w:t>类别</w:t>
                  </w:r>
                </w:p>
              </w:tc>
              <w:tc>
                <w:tcPr>
                  <w:tcW w:w="1280" w:type="dxa"/>
                  <w:gridSpan w:val="4"/>
                  <w:tcBorders>
                    <w:bottom w:val="single" w:color="auto" w:sz="4" w:space="0"/>
                  </w:tcBorders>
                  <w:vAlign w:val="center"/>
                </w:tcPr>
                <w:p w14:paraId="7BC0CCCF">
                  <w:pPr>
                    <w:pStyle w:val="30"/>
                    <w:spacing w:before="75" w:line="239" w:lineRule="auto"/>
                    <w:ind w:left="121" w:right="111" w:hanging="1"/>
                    <w:rPr>
                      <w:rFonts w:ascii="Times New Roman" w:hAnsi="Times New Roman" w:cs="Times New Roman"/>
                      <w:sz w:val="21"/>
                      <w:szCs w:val="21"/>
                      <w:lang w:eastAsia="zh-CN"/>
                    </w:rPr>
                  </w:pPr>
                  <w:r>
                    <w:rPr>
                      <w:rFonts w:ascii="Times New Roman" w:hAnsi="Times New Roman" w:cs="Times New Roman"/>
                      <w:b/>
                      <w:bCs/>
                      <w:snapToGrid w:val="0"/>
                      <w:color w:val="000000"/>
                      <w:spacing w:val="5"/>
                      <w:kern w:val="0"/>
                      <w:sz w:val="21"/>
                      <w:szCs w:val="21"/>
                      <w:lang w:eastAsia="zh-CN"/>
                    </w:rPr>
                    <w:t>主要建设内容</w:t>
                  </w:r>
                </w:p>
              </w:tc>
              <w:tc>
                <w:tcPr>
                  <w:tcW w:w="6971" w:type="dxa"/>
                  <w:tcBorders>
                    <w:bottom w:val="single" w:color="auto" w:sz="4" w:space="0"/>
                    <w:right w:val="single" w:color="auto" w:sz="4" w:space="0"/>
                  </w:tcBorders>
                  <w:vAlign w:val="center"/>
                </w:tcPr>
                <w:p w14:paraId="2E3AF3AC">
                  <w:pPr>
                    <w:pStyle w:val="30"/>
                    <w:spacing w:before="211" w:line="226" w:lineRule="auto"/>
                    <w:jc w:val="center"/>
                    <w:rPr>
                      <w:rFonts w:ascii="Times New Roman" w:hAnsi="Times New Roman" w:cs="Times New Roman"/>
                      <w:sz w:val="21"/>
                      <w:szCs w:val="21"/>
                    </w:rPr>
                  </w:pPr>
                  <w:r>
                    <w:rPr>
                      <w:rFonts w:ascii="Times New Roman" w:hAnsi="Times New Roman" w:cs="Times New Roman"/>
                      <w:b/>
                      <w:bCs/>
                      <w:spacing w:val="7"/>
                      <w:sz w:val="21"/>
                      <w:szCs w:val="21"/>
                    </w:rPr>
                    <w:t>本项目规模与内容</w:t>
                  </w:r>
                </w:p>
              </w:tc>
            </w:tr>
            <w:tr w14:paraId="62342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459" w:type="dxa"/>
                  <w:vMerge w:val="restart"/>
                  <w:tcBorders>
                    <w:left w:val="single" w:color="auto" w:sz="4" w:space="0"/>
                    <w:right w:val="single" w:color="auto" w:sz="4" w:space="0"/>
                  </w:tcBorders>
                  <w:vAlign w:val="center"/>
                </w:tcPr>
                <w:p w14:paraId="4B292039">
                  <w:pPr>
                    <w:pStyle w:val="30"/>
                    <w:spacing w:before="65" w:line="239" w:lineRule="auto"/>
                    <w:ind w:left="178" w:right="169"/>
                    <w:rPr>
                      <w:rFonts w:ascii="Times New Roman" w:hAnsi="Times New Roman" w:cs="Times New Roman"/>
                      <w:sz w:val="21"/>
                      <w:szCs w:val="21"/>
                      <w:lang w:eastAsia="zh-CN"/>
                    </w:rPr>
                  </w:pPr>
                  <w:r>
                    <w:rPr>
                      <w:rFonts w:ascii="Times New Roman" w:hAnsi="Times New Roman" w:cs="Times New Roman"/>
                      <w:b/>
                      <w:bCs/>
                      <w:spacing w:val="3"/>
                      <w:sz w:val="21"/>
                      <w:szCs w:val="21"/>
                      <w:lang w:eastAsia="zh-CN"/>
                    </w:rPr>
                    <w:t>主体工程</w:t>
                  </w:r>
                </w:p>
              </w:tc>
              <w:tc>
                <w:tcPr>
                  <w:tcW w:w="426" w:type="dxa"/>
                  <w:vMerge w:val="restart"/>
                  <w:tcBorders>
                    <w:top w:val="single" w:color="auto" w:sz="4" w:space="0"/>
                    <w:left w:val="single" w:color="auto" w:sz="4" w:space="0"/>
                  </w:tcBorders>
                  <w:shd w:val="clear" w:color="auto" w:fill="auto"/>
                  <w:vAlign w:val="center"/>
                </w:tcPr>
                <w:p w14:paraId="299DE54C">
                  <w:pPr>
                    <w:jc w:val="center"/>
                    <w:rPr>
                      <w:szCs w:val="21"/>
                    </w:rPr>
                  </w:pPr>
                  <w:r>
                    <w:rPr>
                      <w:szCs w:val="21"/>
                    </w:rPr>
                    <w:t>220kV</w:t>
                  </w:r>
                </w:p>
                <w:p w14:paraId="2FA499B2">
                  <w:pPr>
                    <w:jc w:val="center"/>
                    <w:rPr>
                      <w:szCs w:val="21"/>
                    </w:rPr>
                  </w:pPr>
                  <w:r>
                    <w:rPr>
                      <w:szCs w:val="21"/>
                    </w:rPr>
                    <w:t>升压站</w:t>
                  </w:r>
                </w:p>
              </w:tc>
              <w:tc>
                <w:tcPr>
                  <w:tcW w:w="854" w:type="dxa"/>
                  <w:gridSpan w:val="3"/>
                  <w:tcBorders>
                    <w:top w:val="single" w:color="auto" w:sz="4" w:space="0"/>
                    <w:bottom w:val="nil"/>
                  </w:tcBorders>
                  <w:shd w:val="clear" w:color="auto" w:fill="auto"/>
                  <w:vAlign w:val="center"/>
                </w:tcPr>
                <w:p w14:paraId="434AEC75">
                  <w:pPr>
                    <w:jc w:val="center"/>
                    <w:rPr>
                      <w:szCs w:val="21"/>
                    </w:rPr>
                  </w:pPr>
                  <w:r>
                    <w:rPr>
                      <w:szCs w:val="21"/>
                    </w:rPr>
                    <w:t>主变</w:t>
                  </w:r>
                </w:p>
              </w:tc>
              <w:tc>
                <w:tcPr>
                  <w:tcW w:w="6971" w:type="dxa"/>
                  <w:tcBorders>
                    <w:top w:val="single" w:color="auto" w:sz="4" w:space="0"/>
                    <w:right w:val="single" w:color="auto" w:sz="4" w:space="0"/>
                  </w:tcBorders>
                  <w:shd w:val="clear" w:color="auto" w:fill="auto"/>
                  <w:vAlign w:val="center"/>
                </w:tcPr>
                <w:p w14:paraId="1192E038">
                  <w:pPr>
                    <w:pStyle w:val="30"/>
                    <w:spacing w:before="32" w:line="228" w:lineRule="auto"/>
                    <w:rPr>
                      <w:rFonts w:ascii="Times New Roman" w:hAnsi="Times New Roman" w:cs="Times New Roman"/>
                      <w:spacing w:val="1"/>
                      <w:sz w:val="21"/>
                      <w:szCs w:val="21"/>
                      <w:lang w:eastAsia="zh-CN"/>
                    </w:rPr>
                  </w:pPr>
                  <w:r>
                    <w:rPr>
                      <w:rFonts w:ascii="Times New Roman" w:hAnsi="Times New Roman" w:cs="Times New Roman"/>
                      <w:sz w:val="21"/>
                      <w:szCs w:val="21"/>
                    </w:rPr>
                    <w:t>规划2</w:t>
                  </w:r>
                  <w:r>
                    <w:rPr>
                      <w:rFonts w:hint="eastAsia" w:ascii="Times New Roman" w:hAnsi="Times New Roman" w:cs="Times New Roman"/>
                      <w:sz w:val="21"/>
                      <w:szCs w:val="21"/>
                      <w:lang w:eastAsia="zh-CN"/>
                    </w:rPr>
                    <w:t>台</w:t>
                  </w:r>
                  <w:r>
                    <w:rPr>
                      <w:rFonts w:ascii="Times New Roman" w:hAnsi="Times New Roman" w:cs="Times New Roman"/>
                      <w:sz w:val="21"/>
                      <w:szCs w:val="21"/>
                    </w:rPr>
                    <w:t>主变，本期建成1台主变，选择三相三卷有载调压变压器</w:t>
                  </w:r>
                  <w:r>
                    <w:rPr>
                      <w:rFonts w:ascii="Times New Roman" w:hAnsi="Times New Roman" w:cs="Times New Roman"/>
                      <w:sz w:val="21"/>
                      <w:szCs w:val="21"/>
                      <w:lang w:eastAsia="zh-CN"/>
                    </w:rPr>
                    <w:t>。</w:t>
                  </w:r>
                </w:p>
              </w:tc>
            </w:tr>
            <w:tr w14:paraId="08549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59" w:type="dxa"/>
                  <w:vMerge w:val="continue"/>
                  <w:tcBorders>
                    <w:left w:val="single" w:color="auto" w:sz="4" w:space="0"/>
                    <w:right w:val="single" w:color="auto" w:sz="4" w:space="0"/>
                  </w:tcBorders>
                  <w:vAlign w:val="center"/>
                </w:tcPr>
                <w:p w14:paraId="482E6CC9">
                  <w:pPr>
                    <w:jc w:val="center"/>
                    <w:rPr>
                      <w:szCs w:val="21"/>
                    </w:rPr>
                  </w:pPr>
                </w:p>
              </w:tc>
              <w:tc>
                <w:tcPr>
                  <w:tcW w:w="426" w:type="dxa"/>
                  <w:vMerge w:val="continue"/>
                  <w:tcBorders>
                    <w:left w:val="single" w:color="auto" w:sz="4" w:space="0"/>
                  </w:tcBorders>
                  <w:shd w:val="clear" w:color="auto" w:fill="auto"/>
                  <w:vAlign w:val="center"/>
                </w:tcPr>
                <w:p w14:paraId="4B60F1D7">
                  <w:pPr>
                    <w:jc w:val="center"/>
                    <w:rPr>
                      <w:szCs w:val="21"/>
                    </w:rPr>
                  </w:pPr>
                </w:p>
              </w:tc>
              <w:tc>
                <w:tcPr>
                  <w:tcW w:w="854" w:type="dxa"/>
                  <w:gridSpan w:val="3"/>
                  <w:tcBorders>
                    <w:bottom w:val="single" w:color="auto" w:sz="4" w:space="0"/>
                  </w:tcBorders>
                  <w:shd w:val="clear" w:color="auto" w:fill="auto"/>
                  <w:vAlign w:val="center"/>
                </w:tcPr>
                <w:p w14:paraId="21B0344E">
                  <w:pPr>
                    <w:jc w:val="center"/>
                    <w:rPr>
                      <w:szCs w:val="21"/>
                    </w:rPr>
                  </w:pPr>
                  <w:r>
                    <w:rPr>
                      <w:szCs w:val="21"/>
                    </w:rPr>
                    <w:t>220kV出线</w:t>
                  </w:r>
                </w:p>
              </w:tc>
              <w:tc>
                <w:tcPr>
                  <w:tcW w:w="6971" w:type="dxa"/>
                  <w:tcBorders>
                    <w:bottom w:val="single" w:color="auto" w:sz="4" w:space="0"/>
                    <w:right w:val="single" w:color="auto" w:sz="4" w:space="0"/>
                  </w:tcBorders>
                  <w:shd w:val="clear" w:color="auto" w:fill="auto"/>
                  <w:vAlign w:val="center"/>
                </w:tcPr>
                <w:p w14:paraId="1B7BC016">
                  <w:pPr>
                    <w:rPr>
                      <w:szCs w:val="21"/>
                    </w:rPr>
                  </w:pPr>
                  <w:r>
                    <w:rPr>
                      <w:szCs w:val="21"/>
                    </w:rPr>
                    <w:t>本期建成双母线接线及1回出线。</w:t>
                  </w:r>
                </w:p>
              </w:tc>
            </w:tr>
            <w:tr w14:paraId="1C881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59" w:type="dxa"/>
                  <w:vMerge w:val="continue"/>
                  <w:tcBorders>
                    <w:left w:val="single" w:color="auto" w:sz="4" w:space="0"/>
                    <w:right w:val="single" w:color="auto" w:sz="4" w:space="0"/>
                  </w:tcBorders>
                  <w:vAlign w:val="center"/>
                </w:tcPr>
                <w:p w14:paraId="39A30398">
                  <w:pPr>
                    <w:jc w:val="center"/>
                    <w:rPr>
                      <w:szCs w:val="21"/>
                    </w:rPr>
                  </w:pPr>
                </w:p>
              </w:tc>
              <w:tc>
                <w:tcPr>
                  <w:tcW w:w="426" w:type="dxa"/>
                  <w:vMerge w:val="continue"/>
                  <w:tcBorders>
                    <w:left w:val="single" w:color="auto" w:sz="4" w:space="0"/>
                  </w:tcBorders>
                  <w:shd w:val="clear" w:color="auto" w:fill="auto"/>
                  <w:vAlign w:val="center"/>
                </w:tcPr>
                <w:p w14:paraId="0EC34B28">
                  <w:pPr>
                    <w:jc w:val="center"/>
                    <w:rPr>
                      <w:szCs w:val="21"/>
                    </w:rPr>
                  </w:pPr>
                </w:p>
              </w:tc>
              <w:tc>
                <w:tcPr>
                  <w:tcW w:w="854" w:type="dxa"/>
                  <w:gridSpan w:val="3"/>
                  <w:tcBorders>
                    <w:bottom w:val="single" w:color="auto" w:sz="4" w:space="0"/>
                  </w:tcBorders>
                  <w:shd w:val="clear" w:color="auto" w:fill="auto"/>
                  <w:vAlign w:val="center"/>
                </w:tcPr>
                <w:p w14:paraId="1BF0E157">
                  <w:pPr>
                    <w:jc w:val="center"/>
                    <w:rPr>
                      <w:szCs w:val="21"/>
                    </w:rPr>
                  </w:pPr>
                  <w:r>
                    <w:rPr>
                      <w:szCs w:val="21"/>
                    </w:rPr>
                    <w:t>110kV出线</w:t>
                  </w:r>
                </w:p>
              </w:tc>
              <w:tc>
                <w:tcPr>
                  <w:tcW w:w="6971" w:type="dxa"/>
                  <w:tcBorders>
                    <w:bottom w:val="single" w:color="auto" w:sz="4" w:space="0"/>
                    <w:right w:val="single" w:color="auto" w:sz="4" w:space="0"/>
                  </w:tcBorders>
                  <w:shd w:val="clear" w:color="auto" w:fill="auto"/>
                  <w:vAlign w:val="center"/>
                </w:tcPr>
                <w:p w14:paraId="37EF57AB">
                  <w:pPr>
                    <w:rPr>
                      <w:szCs w:val="21"/>
                    </w:rPr>
                  </w:pPr>
                  <w:r>
                    <w:rPr>
                      <w:szCs w:val="21"/>
                    </w:rPr>
                    <w:t>本期建成双母线接线及1回出线。</w:t>
                  </w:r>
                </w:p>
              </w:tc>
            </w:tr>
            <w:tr w14:paraId="21A0B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59" w:type="dxa"/>
                  <w:vMerge w:val="continue"/>
                  <w:tcBorders>
                    <w:left w:val="single" w:color="auto" w:sz="4" w:space="0"/>
                    <w:right w:val="single" w:color="auto" w:sz="4" w:space="0"/>
                  </w:tcBorders>
                  <w:vAlign w:val="center"/>
                </w:tcPr>
                <w:p w14:paraId="29A6197C">
                  <w:pPr>
                    <w:jc w:val="center"/>
                    <w:rPr>
                      <w:szCs w:val="21"/>
                    </w:rPr>
                  </w:pPr>
                </w:p>
              </w:tc>
              <w:tc>
                <w:tcPr>
                  <w:tcW w:w="426" w:type="dxa"/>
                  <w:vMerge w:val="continue"/>
                  <w:tcBorders>
                    <w:left w:val="single" w:color="auto" w:sz="4" w:space="0"/>
                  </w:tcBorders>
                  <w:shd w:val="clear" w:color="auto" w:fill="auto"/>
                  <w:vAlign w:val="center"/>
                </w:tcPr>
                <w:p w14:paraId="664A8E64">
                  <w:pPr>
                    <w:jc w:val="center"/>
                    <w:rPr>
                      <w:szCs w:val="21"/>
                    </w:rPr>
                  </w:pPr>
                </w:p>
              </w:tc>
              <w:tc>
                <w:tcPr>
                  <w:tcW w:w="854" w:type="dxa"/>
                  <w:gridSpan w:val="3"/>
                  <w:tcBorders>
                    <w:top w:val="single" w:color="auto" w:sz="4" w:space="0"/>
                    <w:left w:val="single" w:color="auto" w:sz="4" w:space="0"/>
                    <w:bottom w:val="single" w:color="auto" w:sz="4" w:space="0"/>
                  </w:tcBorders>
                  <w:shd w:val="clear" w:color="auto" w:fill="auto"/>
                  <w:vAlign w:val="center"/>
                </w:tcPr>
                <w:p w14:paraId="26410FAA">
                  <w:pPr>
                    <w:jc w:val="center"/>
                    <w:rPr>
                      <w:szCs w:val="21"/>
                    </w:rPr>
                  </w:pPr>
                  <w:r>
                    <w:rPr>
                      <w:szCs w:val="21"/>
                    </w:rPr>
                    <w:t>35kV出线</w:t>
                  </w:r>
                </w:p>
              </w:tc>
              <w:tc>
                <w:tcPr>
                  <w:tcW w:w="6971" w:type="dxa"/>
                  <w:tcBorders>
                    <w:top w:val="single" w:color="auto" w:sz="4" w:space="0"/>
                    <w:bottom w:val="single" w:color="auto" w:sz="4" w:space="0"/>
                    <w:right w:val="single" w:color="auto" w:sz="4" w:space="0"/>
                  </w:tcBorders>
                  <w:shd w:val="clear" w:color="auto" w:fill="auto"/>
                  <w:vAlign w:val="center"/>
                </w:tcPr>
                <w:p w14:paraId="571BF2FE">
                  <w:pPr>
                    <w:rPr>
                      <w:szCs w:val="21"/>
                    </w:rPr>
                  </w:pPr>
                  <w:r>
                    <w:rPr>
                      <w:szCs w:val="21"/>
                    </w:rPr>
                    <w:t>本期建成2段母线及10回出线，8回至光伏集电线路、2回至储能。</w:t>
                  </w:r>
                </w:p>
              </w:tc>
            </w:tr>
            <w:tr w14:paraId="38FDF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459" w:type="dxa"/>
                  <w:vMerge w:val="continue"/>
                  <w:tcBorders>
                    <w:left w:val="single" w:color="auto" w:sz="4" w:space="0"/>
                    <w:right w:val="single" w:color="auto" w:sz="4" w:space="0"/>
                  </w:tcBorders>
                  <w:vAlign w:val="center"/>
                </w:tcPr>
                <w:p w14:paraId="55D3260B">
                  <w:pPr>
                    <w:jc w:val="center"/>
                    <w:rPr>
                      <w:szCs w:val="21"/>
                    </w:rPr>
                  </w:pPr>
                </w:p>
              </w:tc>
              <w:tc>
                <w:tcPr>
                  <w:tcW w:w="426" w:type="dxa"/>
                  <w:vMerge w:val="continue"/>
                  <w:tcBorders>
                    <w:left w:val="single" w:color="auto" w:sz="4" w:space="0"/>
                  </w:tcBorders>
                  <w:shd w:val="clear" w:color="auto" w:fill="auto"/>
                  <w:vAlign w:val="center"/>
                </w:tcPr>
                <w:p w14:paraId="02B29C2C">
                  <w:pPr>
                    <w:jc w:val="center"/>
                    <w:rPr>
                      <w:szCs w:val="21"/>
                    </w:rPr>
                  </w:pPr>
                </w:p>
              </w:tc>
              <w:tc>
                <w:tcPr>
                  <w:tcW w:w="854" w:type="dxa"/>
                  <w:gridSpan w:val="3"/>
                  <w:tcBorders>
                    <w:top w:val="single" w:color="auto" w:sz="4" w:space="0"/>
                    <w:bottom w:val="single" w:color="auto" w:sz="4" w:space="0"/>
                  </w:tcBorders>
                  <w:shd w:val="clear" w:color="auto" w:fill="auto"/>
                  <w:vAlign w:val="center"/>
                </w:tcPr>
                <w:p w14:paraId="010069A8">
                  <w:pPr>
                    <w:jc w:val="center"/>
                    <w:rPr>
                      <w:szCs w:val="21"/>
                    </w:rPr>
                  </w:pPr>
                  <w:r>
                    <w:rPr>
                      <w:szCs w:val="21"/>
                    </w:rPr>
                    <w:t>35kV无功补偿</w:t>
                  </w:r>
                </w:p>
              </w:tc>
              <w:tc>
                <w:tcPr>
                  <w:tcW w:w="6971" w:type="dxa"/>
                  <w:tcBorders>
                    <w:top w:val="single" w:color="auto" w:sz="4" w:space="0"/>
                    <w:bottom w:val="single" w:color="auto" w:sz="4" w:space="0"/>
                    <w:right w:val="single" w:color="auto" w:sz="4" w:space="0"/>
                  </w:tcBorders>
                  <w:shd w:val="clear" w:color="auto" w:fill="auto"/>
                  <w:vAlign w:val="center"/>
                </w:tcPr>
                <w:p w14:paraId="03C04956">
                  <w:pPr>
                    <w:rPr>
                      <w:szCs w:val="21"/>
                    </w:rPr>
                  </w:pPr>
                  <w:r>
                    <w:rPr>
                      <w:szCs w:val="21"/>
                    </w:rPr>
                    <w:t>35kV母线侧新建2组动态无功补偿装置(SVG)，满足(-96~+96)Mvar 连续可调。</w:t>
                  </w:r>
                </w:p>
              </w:tc>
            </w:tr>
            <w:tr w14:paraId="7A80B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459" w:type="dxa"/>
                  <w:vMerge w:val="continue"/>
                  <w:tcBorders>
                    <w:left w:val="single" w:color="auto" w:sz="4" w:space="0"/>
                    <w:right w:val="single" w:color="auto" w:sz="4" w:space="0"/>
                  </w:tcBorders>
                  <w:vAlign w:val="center"/>
                </w:tcPr>
                <w:p w14:paraId="04297916">
                  <w:pPr>
                    <w:jc w:val="center"/>
                    <w:rPr>
                      <w:szCs w:val="21"/>
                    </w:rPr>
                  </w:pPr>
                </w:p>
              </w:tc>
              <w:tc>
                <w:tcPr>
                  <w:tcW w:w="426" w:type="dxa"/>
                  <w:vMerge w:val="continue"/>
                  <w:tcBorders>
                    <w:left w:val="single" w:color="auto" w:sz="4" w:space="0"/>
                    <w:bottom w:val="single" w:color="auto" w:sz="4" w:space="0"/>
                  </w:tcBorders>
                  <w:shd w:val="clear" w:color="auto" w:fill="auto"/>
                  <w:vAlign w:val="center"/>
                </w:tcPr>
                <w:p w14:paraId="57278BAB">
                  <w:pPr>
                    <w:jc w:val="center"/>
                    <w:rPr>
                      <w:color w:val="3333FF"/>
                      <w:szCs w:val="21"/>
                    </w:rPr>
                  </w:pPr>
                </w:p>
              </w:tc>
              <w:tc>
                <w:tcPr>
                  <w:tcW w:w="854" w:type="dxa"/>
                  <w:gridSpan w:val="3"/>
                  <w:tcBorders>
                    <w:top w:val="single" w:color="auto" w:sz="4" w:space="0"/>
                    <w:bottom w:val="single" w:color="auto" w:sz="4" w:space="0"/>
                  </w:tcBorders>
                  <w:shd w:val="clear" w:color="auto" w:fill="auto"/>
                  <w:vAlign w:val="center"/>
                </w:tcPr>
                <w:p w14:paraId="1BAABEA7">
                  <w:pPr>
                    <w:jc w:val="center"/>
                    <w:rPr>
                      <w:color w:val="000000" w:themeColor="text1"/>
                      <w:szCs w:val="21"/>
                    </w:rPr>
                  </w:pPr>
                  <w:r>
                    <w:rPr>
                      <w:color w:val="000000" w:themeColor="text1"/>
                      <w:szCs w:val="21"/>
                    </w:rPr>
                    <w:t>20MW/40MW</w:t>
                  </w:r>
                  <w:r>
                    <w:rPr>
                      <w:rFonts w:hint="eastAsia"/>
                      <w:color w:val="000000" w:themeColor="text1"/>
                      <w:szCs w:val="21"/>
                    </w:rPr>
                    <w:t>储能配置</w:t>
                  </w:r>
                </w:p>
              </w:tc>
              <w:tc>
                <w:tcPr>
                  <w:tcW w:w="6971" w:type="dxa"/>
                  <w:tcBorders>
                    <w:top w:val="single" w:color="auto" w:sz="4" w:space="0"/>
                    <w:bottom w:val="single" w:color="auto" w:sz="4" w:space="0"/>
                    <w:right w:val="single" w:color="auto" w:sz="4" w:space="0"/>
                  </w:tcBorders>
                  <w:shd w:val="clear" w:color="auto" w:fill="auto"/>
                  <w:vAlign w:val="center"/>
                </w:tcPr>
                <w:p w14:paraId="74248A4B">
                  <w:pPr>
                    <w:rPr>
                      <w:color w:val="000000" w:themeColor="text1"/>
                      <w:szCs w:val="21"/>
                    </w:rPr>
                  </w:pPr>
                  <w:r>
                    <w:rPr>
                      <w:rFonts w:hint="eastAsia"/>
                      <w:color w:val="000000" w:themeColor="text1"/>
                      <w:szCs w:val="21"/>
                    </w:rPr>
                    <w:t>采用磷酸铁锂电池储能系统</w:t>
                  </w:r>
                  <w:r>
                    <w:rPr>
                      <w:rFonts w:hint="eastAsia"/>
                      <w:color w:val="000000" w:themeColor="text1"/>
                      <w:szCs w:val="21"/>
                      <w:lang w:eastAsia="zh-CN"/>
                    </w:rPr>
                    <w:t>，</w:t>
                  </w:r>
                  <w:r>
                    <w:rPr>
                      <w:rFonts w:hint="eastAsia"/>
                      <w:color w:val="000000" w:themeColor="text1"/>
                      <w:szCs w:val="21"/>
                    </w:rPr>
                    <w:t>采用3.2V 314Ah磷酸铁锂电池，单个电池柜由 12个电池簇并联组成。</w:t>
                  </w:r>
                </w:p>
              </w:tc>
            </w:tr>
            <w:tr w14:paraId="5F07D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59" w:type="dxa"/>
                  <w:vMerge w:val="continue"/>
                  <w:tcBorders>
                    <w:left w:val="single" w:color="auto" w:sz="4" w:space="0"/>
                    <w:right w:val="single" w:color="auto" w:sz="4" w:space="0"/>
                  </w:tcBorders>
                  <w:vAlign w:val="center"/>
                </w:tcPr>
                <w:p w14:paraId="1C53F5F4">
                  <w:pPr>
                    <w:pStyle w:val="30"/>
                    <w:spacing w:before="65" w:line="239" w:lineRule="auto"/>
                    <w:ind w:left="178" w:right="169"/>
                    <w:rPr>
                      <w:rFonts w:ascii="Times New Roman" w:hAnsi="Times New Roman" w:cs="Times New Roman"/>
                      <w:sz w:val="21"/>
                      <w:szCs w:val="21"/>
                      <w:lang w:eastAsia="zh-CN"/>
                    </w:rPr>
                  </w:pPr>
                </w:p>
              </w:tc>
              <w:tc>
                <w:tcPr>
                  <w:tcW w:w="426" w:type="dxa"/>
                  <w:vMerge w:val="restart"/>
                  <w:tcBorders>
                    <w:top w:val="single" w:color="auto" w:sz="4" w:space="0"/>
                  </w:tcBorders>
                  <w:vAlign w:val="center"/>
                </w:tcPr>
                <w:p w14:paraId="5ACDA8D4">
                  <w:pPr>
                    <w:spacing w:line="242" w:lineRule="auto"/>
                    <w:rPr>
                      <w:szCs w:val="21"/>
                    </w:rPr>
                  </w:pPr>
                </w:p>
                <w:p w14:paraId="202BB278">
                  <w:pPr>
                    <w:jc w:val="center"/>
                    <w:rPr>
                      <w:szCs w:val="21"/>
                    </w:rPr>
                  </w:pPr>
                  <w:r>
                    <w:rPr>
                      <w:szCs w:val="21"/>
                    </w:rPr>
                    <w:t>220kV输电线路</w:t>
                  </w:r>
                </w:p>
              </w:tc>
              <w:tc>
                <w:tcPr>
                  <w:tcW w:w="854" w:type="dxa"/>
                  <w:gridSpan w:val="3"/>
                  <w:tcBorders>
                    <w:top w:val="single" w:color="auto" w:sz="4" w:space="0"/>
                    <w:bottom w:val="single" w:color="auto" w:sz="4" w:space="0"/>
                  </w:tcBorders>
                  <w:vAlign w:val="center"/>
                </w:tcPr>
                <w:p w14:paraId="44A05784">
                  <w:pPr>
                    <w:jc w:val="center"/>
                    <w:rPr>
                      <w:szCs w:val="21"/>
                    </w:rPr>
                  </w:pPr>
                  <w:r>
                    <w:rPr>
                      <w:szCs w:val="21"/>
                    </w:rPr>
                    <w:t>线路路径长度</w:t>
                  </w:r>
                </w:p>
              </w:tc>
              <w:tc>
                <w:tcPr>
                  <w:tcW w:w="6971" w:type="dxa"/>
                  <w:tcBorders>
                    <w:top w:val="single" w:color="auto" w:sz="4" w:space="0"/>
                    <w:bottom w:val="single" w:color="auto" w:sz="4" w:space="0"/>
                    <w:right w:val="single" w:color="auto" w:sz="4" w:space="0"/>
                  </w:tcBorders>
                  <w:vAlign w:val="center"/>
                </w:tcPr>
                <w:p w14:paraId="03393AA8">
                  <w:pPr>
                    <w:pStyle w:val="30"/>
                    <w:spacing w:before="166" w:line="227" w:lineRule="auto"/>
                    <w:jc w:val="left"/>
                    <w:rPr>
                      <w:rFonts w:ascii="Times New Roman" w:hAnsi="Times New Roman" w:cs="Times New Roman"/>
                      <w:spacing w:val="7"/>
                      <w:sz w:val="21"/>
                      <w:szCs w:val="21"/>
                      <w:lang w:eastAsia="zh-CN"/>
                    </w:rPr>
                  </w:pPr>
                  <w:r>
                    <w:rPr>
                      <w:rFonts w:ascii="Times New Roman" w:hAnsi="Times New Roman" w:cs="Times New Roman"/>
                      <w:spacing w:val="7"/>
                      <w:sz w:val="21"/>
                      <w:szCs w:val="21"/>
                      <w:lang w:eastAsia="zh-CN"/>
                    </w:rPr>
                    <w:t>线路长度约</w:t>
                  </w:r>
                  <w:r>
                    <w:rPr>
                      <w:rFonts w:ascii="Times New Roman" w:hAnsi="Times New Roman" w:cs="Times New Roman"/>
                      <w:color w:val="000000" w:themeColor="text1"/>
                      <w:spacing w:val="7"/>
                      <w:sz w:val="21"/>
                      <w:szCs w:val="21"/>
                      <w:lang w:eastAsia="zh-CN"/>
                    </w:rPr>
                    <w:t>为7.</w:t>
                  </w:r>
                  <w:r>
                    <w:rPr>
                      <w:rFonts w:hint="eastAsia" w:ascii="Times New Roman" w:hAnsi="Times New Roman" w:cs="Times New Roman"/>
                      <w:color w:val="000000" w:themeColor="text1"/>
                      <w:spacing w:val="7"/>
                      <w:sz w:val="21"/>
                      <w:szCs w:val="21"/>
                      <w:lang w:eastAsia="zh-CN"/>
                    </w:rPr>
                    <w:t>84</w:t>
                  </w:r>
                  <w:r>
                    <w:rPr>
                      <w:rFonts w:hint="eastAsia" w:ascii="Times New Roman" w:hAnsi="Times New Roman" w:cs="Times New Roman"/>
                      <w:color w:val="000000" w:themeColor="text1"/>
                      <w:spacing w:val="7"/>
                      <w:sz w:val="21"/>
                      <w:szCs w:val="21"/>
                      <w:lang w:val="en-US" w:eastAsia="zh-CN"/>
                    </w:rPr>
                    <w:t>km</w:t>
                  </w:r>
                  <w:r>
                    <w:rPr>
                      <w:rFonts w:ascii="Times New Roman" w:hAnsi="Times New Roman" w:cs="Times New Roman"/>
                      <w:color w:val="000000" w:themeColor="text1"/>
                      <w:spacing w:val="7"/>
                      <w:sz w:val="21"/>
                      <w:szCs w:val="21"/>
                      <w:lang w:eastAsia="zh-CN"/>
                    </w:rPr>
                    <w:t>，全</w:t>
                  </w:r>
                  <w:r>
                    <w:rPr>
                      <w:rFonts w:ascii="Times New Roman" w:hAnsi="Times New Roman" w:cs="Times New Roman"/>
                      <w:spacing w:val="7"/>
                      <w:sz w:val="21"/>
                      <w:szCs w:val="21"/>
                      <w:lang w:eastAsia="zh-CN"/>
                    </w:rPr>
                    <w:t>线单回路架设，全线架设双地线</w:t>
                  </w:r>
                </w:p>
              </w:tc>
            </w:tr>
            <w:tr w14:paraId="04599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459" w:type="dxa"/>
                  <w:vMerge w:val="continue"/>
                  <w:tcBorders>
                    <w:left w:val="single" w:color="auto" w:sz="4" w:space="0"/>
                    <w:right w:val="single" w:color="auto" w:sz="4" w:space="0"/>
                  </w:tcBorders>
                  <w:vAlign w:val="center"/>
                </w:tcPr>
                <w:p w14:paraId="4516E237">
                  <w:pPr>
                    <w:rPr>
                      <w:szCs w:val="21"/>
                    </w:rPr>
                  </w:pPr>
                </w:p>
              </w:tc>
              <w:tc>
                <w:tcPr>
                  <w:tcW w:w="426" w:type="dxa"/>
                  <w:vMerge w:val="continue"/>
                  <w:vAlign w:val="center"/>
                </w:tcPr>
                <w:p w14:paraId="510934CC">
                  <w:pPr>
                    <w:pStyle w:val="30"/>
                    <w:spacing w:before="303" w:line="228" w:lineRule="auto"/>
                    <w:ind w:left="312"/>
                    <w:rPr>
                      <w:rFonts w:ascii="Times New Roman" w:hAnsi="Times New Roman" w:cs="Times New Roman"/>
                      <w:sz w:val="21"/>
                      <w:szCs w:val="21"/>
                    </w:rPr>
                  </w:pPr>
                </w:p>
              </w:tc>
              <w:tc>
                <w:tcPr>
                  <w:tcW w:w="854" w:type="dxa"/>
                  <w:gridSpan w:val="3"/>
                  <w:tcBorders>
                    <w:top w:val="single" w:color="auto" w:sz="4" w:space="0"/>
                  </w:tcBorders>
                  <w:vAlign w:val="center"/>
                </w:tcPr>
                <w:p w14:paraId="6B83D6FC">
                  <w:pPr>
                    <w:jc w:val="center"/>
                    <w:rPr>
                      <w:szCs w:val="21"/>
                    </w:rPr>
                  </w:pPr>
                  <w:r>
                    <w:rPr>
                      <w:szCs w:val="21"/>
                    </w:rPr>
                    <w:t>导线形式</w:t>
                  </w:r>
                </w:p>
              </w:tc>
              <w:tc>
                <w:tcPr>
                  <w:tcW w:w="6971" w:type="dxa"/>
                  <w:tcBorders>
                    <w:top w:val="single" w:color="auto" w:sz="4" w:space="0"/>
                    <w:right w:val="single" w:color="auto" w:sz="4" w:space="0"/>
                  </w:tcBorders>
                  <w:vAlign w:val="center"/>
                </w:tcPr>
                <w:p w14:paraId="603F7D8D">
                  <w:pPr>
                    <w:pStyle w:val="30"/>
                    <w:spacing w:before="166" w:line="227" w:lineRule="auto"/>
                    <w:jc w:val="left"/>
                    <w:rPr>
                      <w:rFonts w:ascii="Times New Roman" w:hAnsi="Times New Roman" w:cs="Times New Roman"/>
                      <w:spacing w:val="7"/>
                      <w:sz w:val="21"/>
                      <w:szCs w:val="21"/>
                    </w:rPr>
                  </w:pPr>
                  <w:r>
                    <w:rPr>
                      <w:rFonts w:ascii="Times New Roman" w:hAnsi="Times New Roman" w:cs="Times New Roman"/>
                      <w:spacing w:val="7"/>
                      <w:sz w:val="21"/>
                      <w:szCs w:val="21"/>
                      <w:lang w:eastAsia="zh-CN"/>
                    </w:rPr>
                    <w:t>①导线：</w:t>
                  </w:r>
                  <w:r>
                    <w:rPr>
                      <w:rFonts w:ascii="Times New Roman" w:hAnsi="Times New Roman" w:cs="Times New Roman"/>
                      <w:spacing w:val="7"/>
                      <w:sz w:val="21"/>
                      <w:szCs w:val="21"/>
                    </w:rPr>
                    <w:t>选用高导电率钢芯铝绞线。②地线：</w:t>
                  </w:r>
                  <w:r>
                    <w:rPr>
                      <w:rFonts w:ascii="Times New Roman" w:hAnsi="Times New Roman" w:cs="Times New Roman"/>
                      <w:spacing w:val="7"/>
                      <w:sz w:val="21"/>
                      <w:szCs w:val="21"/>
                      <w:lang w:eastAsia="zh-CN"/>
                    </w:rPr>
                    <w:t>全线架设双地线（OPGW-150光缆）</w:t>
                  </w:r>
                </w:p>
              </w:tc>
            </w:tr>
            <w:tr w14:paraId="2CF6F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left w:val="single" w:color="auto" w:sz="4" w:space="0"/>
                    <w:right w:val="single" w:color="auto" w:sz="4" w:space="0"/>
                  </w:tcBorders>
                  <w:vAlign w:val="center"/>
                </w:tcPr>
                <w:p w14:paraId="2E4F2889">
                  <w:pPr>
                    <w:rPr>
                      <w:szCs w:val="21"/>
                    </w:rPr>
                  </w:pPr>
                </w:p>
              </w:tc>
              <w:tc>
                <w:tcPr>
                  <w:tcW w:w="426" w:type="dxa"/>
                  <w:vMerge w:val="continue"/>
                  <w:vAlign w:val="center"/>
                </w:tcPr>
                <w:p w14:paraId="010AD3AD">
                  <w:pPr>
                    <w:pStyle w:val="30"/>
                    <w:spacing w:before="166" w:line="227" w:lineRule="auto"/>
                    <w:ind w:left="307"/>
                    <w:rPr>
                      <w:rFonts w:ascii="Times New Roman" w:hAnsi="Times New Roman" w:cs="Times New Roman"/>
                      <w:sz w:val="21"/>
                      <w:szCs w:val="21"/>
                    </w:rPr>
                  </w:pPr>
                </w:p>
              </w:tc>
              <w:tc>
                <w:tcPr>
                  <w:tcW w:w="854" w:type="dxa"/>
                  <w:gridSpan w:val="3"/>
                  <w:vAlign w:val="center"/>
                </w:tcPr>
                <w:p w14:paraId="1BE4148B">
                  <w:pPr>
                    <w:pStyle w:val="30"/>
                    <w:spacing w:before="166" w:line="227" w:lineRule="auto"/>
                    <w:jc w:val="center"/>
                    <w:rPr>
                      <w:rFonts w:ascii="Times New Roman" w:hAnsi="Times New Roman" w:cs="Times New Roman"/>
                      <w:spacing w:val="7"/>
                      <w:sz w:val="21"/>
                      <w:szCs w:val="21"/>
                      <w:lang w:eastAsia="zh-CN"/>
                    </w:rPr>
                  </w:pPr>
                  <w:r>
                    <w:rPr>
                      <w:rFonts w:ascii="Times New Roman" w:hAnsi="Times New Roman" w:cs="Times New Roman"/>
                      <w:sz w:val="21"/>
                      <w:szCs w:val="21"/>
                      <w:lang w:eastAsia="zh-CN"/>
                    </w:rPr>
                    <w:t>杆塔型式</w:t>
                  </w:r>
                </w:p>
              </w:tc>
              <w:tc>
                <w:tcPr>
                  <w:tcW w:w="6971" w:type="dxa"/>
                  <w:tcBorders>
                    <w:right w:val="single" w:color="auto" w:sz="4" w:space="0"/>
                  </w:tcBorders>
                  <w:vAlign w:val="center"/>
                </w:tcPr>
                <w:p w14:paraId="44921189">
                  <w:pPr>
                    <w:pStyle w:val="30"/>
                    <w:spacing w:before="166" w:line="227" w:lineRule="auto"/>
                    <w:jc w:val="left"/>
                    <w:rPr>
                      <w:rFonts w:ascii="Times New Roman" w:hAnsi="Times New Roman" w:cs="Times New Roman"/>
                      <w:spacing w:val="7"/>
                      <w:sz w:val="21"/>
                      <w:szCs w:val="21"/>
                    </w:rPr>
                  </w:pPr>
                  <w:r>
                    <w:rPr>
                      <w:rFonts w:ascii="Times New Roman" w:hAnsi="Times New Roman" w:cs="Times New Roman"/>
                      <w:spacing w:val="7"/>
                      <w:sz w:val="21"/>
                      <w:szCs w:val="21"/>
                      <w:lang w:eastAsia="zh-CN"/>
                    </w:rPr>
                    <w:t>单回直线塔、单回转角塔、双回终端塔</w:t>
                  </w:r>
                </w:p>
              </w:tc>
            </w:tr>
            <w:tr w14:paraId="3D12F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459" w:type="dxa"/>
                  <w:vMerge w:val="continue"/>
                  <w:tcBorders>
                    <w:left w:val="single" w:color="auto" w:sz="4" w:space="0"/>
                    <w:right w:val="single" w:color="auto" w:sz="4" w:space="0"/>
                  </w:tcBorders>
                  <w:vAlign w:val="center"/>
                </w:tcPr>
                <w:p w14:paraId="1E01D789">
                  <w:pPr>
                    <w:rPr>
                      <w:szCs w:val="21"/>
                    </w:rPr>
                  </w:pPr>
                </w:p>
              </w:tc>
              <w:tc>
                <w:tcPr>
                  <w:tcW w:w="426" w:type="dxa"/>
                  <w:vMerge w:val="continue"/>
                  <w:vAlign w:val="center"/>
                </w:tcPr>
                <w:p w14:paraId="7F897B14">
                  <w:pPr>
                    <w:pStyle w:val="30"/>
                    <w:spacing w:before="26" w:line="230" w:lineRule="auto"/>
                    <w:ind w:left="555"/>
                    <w:rPr>
                      <w:rFonts w:ascii="Times New Roman" w:hAnsi="Times New Roman" w:cs="Times New Roman"/>
                      <w:sz w:val="21"/>
                      <w:szCs w:val="21"/>
                    </w:rPr>
                  </w:pPr>
                </w:p>
              </w:tc>
              <w:tc>
                <w:tcPr>
                  <w:tcW w:w="854" w:type="dxa"/>
                  <w:gridSpan w:val="3"/>
                  <w:vAlign w:val="center"/>
                </w:tcPr>
                <w:p w14:paraId="665A65D6">
                  <w:pPr>
                    <w:jc w:val="center"/>
                    <w:rPr>
                      <w:szCs w:val="21"/>
                    </w:rPr>
                  </w:pPr>
                  <w:r>
                    <w:rPr>
                      <w:szCs w:val="21"/>
                    </w:rPr>
                    <w:t>杆塔数量（基）</w:t>
                  </w:r>
                </w:p>
              </w:tc>
              <w:tc>
                <w:tcPr>
                  <w:tcW w:w="6971" w:type="dxa"/>
                  <w:tcBorders>
                    <w:right w:val="single" w:color="auto" w:sz="4" w:space="0"/>
                  </w:tcBorders>
                  <w:vAlign w:val="center"/>
                </w:tcPr>
                <w:p w14:paraId="16793B06">
                  <w:pPr>
                    <w:pStyle w:val="30"/>
                    <w:spacing w:before="166" w:line="227" w:lineRule="auto"/>
                    <w:jc w:val="left"/>
                    <w:rPr>
                      <w:rFonts w:ascii="Times New Roman" w:hAnsi="Times New Roman" w:cs="Times New Roman"/>
                      <w:spacing w:val="7"/>
                      <w:sz w:val="21"/>
                      <w:szCs w:val="21"/>
                    </w:rPr>
                  </w:pPr>
                  <w:r>
                    <w:rPr>
                      <w:rFonts w:ascii="Times New Roman" w:hAnsi="Times New Roman" w:cs="Times New Roman"/>
                      <w:spacing w:val="7"/>
                      <w:sz w:val="21"/>
                      <w:szCs w:val="21"/>
                    </w:rPr>
                    <w:t>共建设杆塔</w:t>
                  </w:r>
                  <w:r>
                    <w:rPr>
                      <w:rFonts w:ascii="Times New Roman" w:hAnsi="Times New Roman" w:cs="Times New Roman"/>
                      <w:spacing w:val="7"/>
                      <w:sz w:val="21"/>
                      <w:szCs w:val="21"/>
                      <w:lang w:eastAsia="zh-CN"/>
                    </w:rPr>
                    <w:t>24</w:t>
                  </w:r>
                  <w:r>
                    <w:rPr>
                      <w:rFonts w:ascii="Times New Roman" w:hAnsi="Times New Roman" w:cs="Times New Roman"/>
                      <w:spacing w:val="7"/>
                      <w:sz w:val="21"/>
                      <w:szCs w:val="21"/>
                    </w:rPr>
                    <w:t>基，为</w:t>
                  </w:r>
                  <w:r>
                    <w:rPr>
                      <w:rFonts w:ascii="Times New Roman" w:hAnsi="Times New Roman" w:cs="Times New Roman"/>
                      <w:spacing w:val="7"/>
                      <w:sz w:val="21"/>
                      <w:szCs w:val="21"/>
                      <w:lang w:eastAsia="zh-CN"/>
                    </w:rPr>
                    <w:t>单回直线塔15基、单回转角塔8基、双回终端塔1基</w:t>
                  </w:r>
                </w:p>
              </w:tc>
            </w:tr>
            <w:tr w14:paraId="669BF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59" w:type="dxa"/>
                  <w:vMerge w:val="continue"/>
                  <w:tcBorders>
                    <w:left w:val="single" w:color="auto" w:sz="4" w:space="0"/>
                    <w:right w:val="single" w:color="auto" w:sz="4" w:space="0"/>
                  </w:tcBorders>
                  <w:vAlign w:val="center"/>
                </w:tcPr>
                <w:p w14:paraId="4D02C708">
                  <w:pPr>
                    <w:rPr>
                      <w:szCs w:val="21"/>
                    </w:rPr>
                  </w:pPr>
                </w:p>
              </w:tc>
              <w:tc>
                <w:tcPr>
                  <w:tcW w:w="426" w:type="dxa"/>
                  <w:vMerge w:val="continue"/>
                  <w:tcBorders>
                    <w:bottom w:val="single" w:color="auto" w:sz="4" w:space="0"/>
                  </w:tcBorders>
                  <w:vAlign w:val="center"/>
                </w:tcPr>
                <w:p w14:paraId="481889AC">
                  <w:pPr>
                    <w:pStyle w:val="30"/>
                    <w:spacing w:before="64" w:line="227" w:lineRule="auto"/>
                    <w:ind w:left="307"/>
                    <w:rPr>
                      <w:rFonts w:ascii="Times New Roman" w:hAnsi="Times New Roman" w:cs="Times New Roman"/>
                      <w:sz w:val="21"/>
                      <w:szCs w:val="21"/>
                      <w:lang w:eastAsia="zh-CN"/>
                    </w:rPr>
                  </w:pPr>
                </w:p>
              </w:tc>
              <w:tc>
                <w:tcPr>
                  <w:tcW w:w="854" w:type="dxa"/>
                  <w:gridSpan w:val="3"/>
                  <w:tcBorders>
                    <w:bottom w:val="single" w:color="auto" w:sz="4" w:space="0"/>
                  </w:tcBorders>
                  <w:vAlign w:val="center"/>
                </w:tcPr>
                <w:p w14:paraId="3B4461EA">
                  <w:pPr>
                    <w:jc w:val="center"/>
                    <w:rPr>
                      <w:szCs w:val="21"/>
                    </w:rPr>
                  </w:pPr>
                  <w:r>
                    <w:rPr>
                      <w:szCs w:val="21"/>
                    </w:rPr>
                    <w:t>路径布置及走向</w:t>
                  </w:r>
                </w:p>
              </w:tc>
              <w:tc>
                <w:tcPr>
                  <w:tcW w:w="6971" w:type="dxa"/>
                  <w:tcBorders>
                    <w:bottom w:val="single" w:color="auto" w:sz="4" w:space="0"/>
                    <w:right w:val="single" w:color="auto" w:sz="4" w:space="0"/>
                  </w:tcBorders>
                  <w:vAlign w:val="center"/>
                </w:tcPr>
                <w:p w14:paraId="2BD6520B">
                  <w:pPr>
                    <w:pStyle w:val="30"/>
                    <w:spacing w:before="65" w:line="226" w:lineRule="auto"/>
                    <w:jc w:val="left"/>
                    <w:rPr>
                      <w:rFonts w:ascii="Times New Roman" w:hAnsi="Times New Roman" w:cs="Times New Roman"/>
                      <w:sz w:val="21"/>
                      <w:szCs w:val="21"/>
                    </w:rPr>
                  </w:pPr>
                  <w:r>
                    <w:rPr>
                      <w:rFonts w:ascii="Times New Roman" w:hAnsi="Times New Roman" w:cs="Times New Roman"/>
                      <w:spacing w:val="1"/>
                      <w:sz w:val="21"/>
                      <w:szCs w:val="21"/>
                      <w:lang w:eastAsia="zh-CN"/>
                    </w:rPr>
                    <w:t>线路通过1回220kV线路往西35kV库合光二线后，向北钻越750kV巴吐二线1次、750kV巴吐二线1次后，继续向西跨越35kV库合光二线后接入库米什220kV变电站实现并网。</w:t>
                  </w:r>
                </w:p>
              </w:tc>
            </w:tr>
            <w:tr w14:paraId="0719B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59" w:type="dxa"/>
                  <w:vMerge w:val="continue"/>
                  <w:tcBorders>
                    <w:left w:val="single" w:color="auto" w:sz="4" w:space="0"/>
                    <w:bottom w:val="single" w:color="auto" w:sz="4" w:space="0"/>
                    <w:right w:val="single" w:color="auto" w:sz="4" w:space="0"/>
                  </w:tcBorders>
                  <w:vAlign w:val="center"/>
                </w:tcPr>
                <w:p w14:paraId="1B72C864">
                  <w:pPr>
                    <w:rPr>
                      <w:szCs w:val="21"/>
                    </w:rPr>
                  </w:pPr>
                </w:p>
              </w:tc>
              <w:tc>
                <w:tcPr>
                  <w:tcW w:w="1280" w:type="dxa"/>
                  <w:gridSpan w:val="4"/>
                  <w:tcBorders>
                    <w:bottom w:val="single" w:color="auto" w:sz="4" w:space="0"/>
                  </w:tcBorders>
                  <w:vAlign w:val="center"/>
                </w:tcPr>
                <w:p w14:paraId="7274AF31">
                  <w:pPr>
                    <w:jc w:val="center"/>
                    <w:rPr>
                      <w:color w:val="000000" w:themeColor="text1"/>
                      <w:szCs w:val="21"/>
                    </w:rPr>
                  </w:pPr>
                  <w:r>
                    <w:rPr>
                      <w:color w:val="000000" w:themeColor="text1"/>
                      <w:spacing w:val="1"/>
                      <w:szCs w:val="21"/>
                    </w:rPr>
                    <w:t>库米什220kV变电站扩建间隔</w:t>
                  </w:r>
                </w:p>
              </w:tc>
              <w:tc>
                <w:tcPr>
                  <w:tcW w:w="6971" w:type="dxa"/>
                  <w:tcBorders>
                    <w:bottom w:val="single" w:color="auto" w:sz="4" w:space="0"/>
                    <w:right w:val="single" w:color="auto" w:sz="4" w:space="0"/>
                  </w:tcBorders>
                  <w:vAlign w:val="center"/>
                </w:tcPr>
                <w:p w14:paraId="1A2BEA83">
                  <w:pPr>
                    <w:pStyle w:val="30"/>
                    <w:spacing w:before="65" w:line="226" w:lineRule="auto"/>
                    <w:jc w:val="left"/>
                    <w:rPr>
                      <w:rFonts w:ascii="Times New Roman" w:hAnsi="Times New Roman" w:cs="Times New Roman"/>
                      <w:color w:val="000000" w:themeColor="text1"/>
                      <w:spacing w:val="1"/>
                      <w:sz w:val="21"/>
                      <w:szCs w:val="21"/>
                      <w:lang w:eastAsia="zh-CN"/>
                    </w:rPr>
                  </w:pPr>
                  <w:r>
                    <w:rPr>
                      <w:rFonts w:ascii="Times New Roman" w:hAnsi="Times New Roman" w:cs="Times New Roman"/>
                      <w:color w:val="000000" w:themeColor="text1"/>
                      <w:spacing w:val="1"/>
                      <w:sz w:val="21"/>
                      <w:szCs w:val="21"/>
                      <w:lang w:eastAsia="zh-CN"/>
                    </w:rPr>
                    <w:t>库米什220kV变电站</w:t>
                  </w:r>
                  <w:r>
                    <w:rPr>
                      <w:rFonts w:hint="eastAsia" w:ascii="Times New Roman" w:hAnsi="Times New Roman" w:cs="Times New Roman"/>
                      <w:color w:val="000000" w:themeColor="text1"/>
                      <w:spacing w:val="1"/>
                      <w:sz w:val="21"/>
                      <w:szCs w:val="21"/>
                      <w:lang w:eastAsia="zh-CN"/>
                    </w:rPr>
                    <w:t>东侧新建占地面积为</w:t>
                  </w:r>
                  <w:r>
                    <w:rPr>
                      <w:rFonts w:hint="eastAsia" w:ascii="Times New Roman" w:hAnsi="Times New Roman" w:cs="Times New Roman"/>
                      <w:color w:val="000000" w:themeColor="text1"/>
                      <w:spacing w:val="1"/>
                      <w:sz w:val="21"/>
                      <w:szCs w:val="21"/>
                      <w:lang w:val="en-US" w:eastAsia="zh-CN"/>
                    </w:rPr>
                    <w:t>2310m</w:t>
                  </w:r>
                  <w:r>
                    <w:rPr>
                      <w:rFonts w:hint="eastAsia" w:ascii="Times New Roman" w:hAnsi="Times New Roman" w:cs="Times New Roman"/>
                      <w:color w:val="000000" w:themeColor="text1"/>
                      <w:spacing w:val="1"/>
                      <w:sz w:val="21"/>
                      <w:szCs w:val="21"/>
                      <w:vertAlign w:val="superscript"/>
                      <w:lang w:val="en-US" w:eastAsia="zh-CN"/>
                    </w:rPr>
                    <w:t>2</w:t>
                  </w:r>
                  <w:r>
                    <w:rPr>
                      <w:rFonts w:hint="eastAsia" w:ascii="Times New Roman" w:hAnsi="Times New Roman" w:cs="Times New Roman"/>
                      <w:color w:val="000000" w:themeColor="text1"/>
                      <w:spacing w:val="1"/>
                      <w:sz w:val="21"/>
                      <w:szCs w:val="21"/>
                      <w:lang w:val="en-US" w:eastAsia="zh-CN"/>
                    </w:rPr>
                    <w:t>的扩建间隔，</w:t>
                  </w:r>
                  <w:r>
                    <w:rPr>
                      <w:rFonts w:ascii="Times New Roman" w:hAnsi="Times New Roman" w:cs="Times New Roman"/>
                      <w:color w:val="000000" w:themeColor="text1"/>
                      <w:spacing w:val="1"/>
                      <w:sz w:val="21"/>
                      <w:szCs w:val="21"/>
                      <w:lang w:eastAsia="zh-CN"/>
                    </w:rPr>
                    <w:t>220kV配电装置规划采用双母线接线方式。本期京能吐鲁番市托克逊县220kV升压站拟接入库米什220kV变电站由西至东第1回扩建220kV出线间隔位置。</w:t>
                  </w:r>
                </w:p>
              </w:tc>
            </w:tr>
            <w:tr w14:paraId="70ADF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9" w:type="dxa"/>
                  <w:vMerge w:val="restart"/>
                  <w:tcBorders>
                    <w:left w:val="single" w:color="auto" w:sz="4" w:space="0"/>
                    <w:right w:val="single" w:color="auto" w:sz="4" w:space="0"/>
                  </w:tcBorders>
                  <w:vAlign w:val="center"/>
                </w:tcPr>
                <w:p w14:paraId="05446D52">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b/>
                      <w:bCs/>
                      <w:sz w:val="21"/>
                      <w:szCs w:val="21"/>
                      <w:lang w:eastAsia="zh-CN"/>
                    </w:rPr>
                    <w:t>辅助工程</w:t>
                  </w:r>
                </w:p>
              </w:tc>
              <w:tc>
                <w:tcPr>
                  <w:tcW w:w="677" w:type="dxa"/>
                  <w:gridSpan w:val="3"/>
                  <w:vMerge w:val="restart"/>
                  <w:vAlign w:val="center"/>
                </w:tcPr>
                <w:p w14:paraId="77815BDD">
                  <w:pPr>
                    <w:pStyle w:val="30"/>
                    <w:spacing w:before="65" w:line="226" w:lineRule="auto"/>
                    <w:jc w:val="center"/>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220kV升压站</w:t>
                  </w:r>
                </w:p>
              </w:tc>
              <w:tc>
                <w:tcPr>
                  <w:tcW w:w="603" w:type="dxa"/>
                  <w:vMerge w:val="restart"/>
                  <w:tcBorders>
                    <w:right w:val="single" w:color="auto" w:sz="4" w:space="0"/>
                  </w:tcBorders>
                  <w:vAlign w:val="center"/>
                </w:tcPr>
                <w:p w14:paraId="2D37AFEA">
                  <w:pPr>
                    <w:pStyle w:val="30"/>
                    <w:spacing w:before="65" w:line="226" w:lineRule="auto"/>
                    <w:jc w:val="center"/>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道路</w:t>
                  </w:r>
                </w:p>
              </w:tc>
              <w:tc>
                <w:tcPr>
                  <w:tcW w:w="6971" w:type="dxa"/>
                  <w:tcBorders>
                    <w:left w:val="single" w:color="auto" w:sz="4" w:space="0"/>
                    <w:bottom w:val="single" w:color="auto" w:sz="4" w:space="0"/>
                    <w:right w:val="single" w:color="auto" w:sz="4" w:space="0"/>
                  </w:tcBorders>
                  <w:vAlign w:val="center"/>
                </w:tcPr>
                <w:p w14:paraId="0ECF7847">
                  <w:pPr>
                    <w:pStyle w:val="30"/>
                    <w:spacing w:before="65" w:line="226" w:lineRule="auto"/>
                    <w:jc w:val="left"/>
                    <w:rPr>
                      <w:rFonts w:ascii="Times New Roman" w:hAnsi="Times New Roman" w:cs="Times New Roman"/>
                      <w:sz w:val="21"/>
                      <w:szCs w:val="21"/>
                      <w:lang w:eastAsia="zh-CN"/>
                    </w:rPr>
                  </w:pPr>
                  <w:r>
                    <w:rPr>
                      <w:rFonts w:ascii="Times New Roman" w:hAnsi="Times New Roman" w:cs="Times New Roman"/>
                      <w:sz w:val="21"/>
                      <w:szCs w:val="21"/>
                      <w:lang w:eastAsia="zh-CN"/>
                    </w:rPr>
                    <w:t>新建1条进站道路，道路总长约300m，路基宽6m，路面等级为砂砾石路面。道路起点接站区西侧现有道路，终点至京能吐鲁番市托克逊县产业园区低碳转型光伏项目220千伏输变电工程220kV升压站大门。</w:t>
                  </w:r>
                </w:p>
              </w:tc>
            </w:tr>
            <w:tr w14:paraId="7C461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9" w:type="dxa"/>
                  <w:vMerge w:val="continue"/>
                  <w:tcBorders>
                    <w:left w:val="single" w:color="auto" w:sz="4" w:space="0"/>
                    <w:right w:val="single" w:color="auto" w:sz="4" w:space="0"/>
                  </w:tcBorders>
                  <w:vAlign w:val="center"/>
                </w:tcPr>
                <w:p w14:paraId="142616E1">
                  <w:pPr>
                    <w:pStyle w:val="30"/>
                    <w:spacing w:before="65" w:line="226" w:lineRule="auto"/>
                    <w:jc w:val="center"/>
                    <w:rPr>
                      <w:rFonts w:ascii="Times New Roman" w:hAnsi="Times New Roman" w:cs="Times New Roman"/>
                      <w:sz w:val="21"/>
                      <w:szCs w:val="21"/>
                      <w:lang w:eastAsia="zh-CN"/>
                    </w:rPr>
                  </w:pPr>
                </w:p>
              </w:tc>
              <w:tc>
                <w:tcPr>
                  <w:tcW w:w="677" w:type="dxa"/>
                  <w:gridSpan w:val="3"/>
                  <w:vMerge w:val="continue"/>
                  <w:vAlign w:val="center"/>
                </w:tcPr>
                <w:p w14:paraId="43ED5F98">
                  <w:pPr>
                    <w:pStyle w:val="30"/>
                    <w:spacing w:before="65" w:line="226" w:lineRule="auto"/>
                    <w:jc w:val="center"/>
                    <w:rPr>
                      <w:rFonts w:ascii="Times New Roman" w:hAnsi="Times New Roman" w:cs="Times New Roman"/>
                      <w:spacing w:val="1"/>
                      <w:sz w:val="21"/>
                      <w:szCs w:val="21"/>
                      <w:lang w:eastAsia="zh-CN"/>
                    </w:rPr>
                  </w:pPr>
                </w:p>
              </w:tc>
              <w:tc>
                <w:tcPr>
                  <w:tcW w:w="603" w:type="dxa"/>
                  <w:vMerge w:val="continue"/>
                  <w:tcBorders>
                    <w:bottom w:val="single" w:color="auto" w:sz="4" w:space="0"/>
                    <w:right w:val="single" w:color="auto" w:sz="4" w:space="0"/>
                  </w:tcBorders>
                  <w:vAlign w:val="center"/>
                </w:tcPr>
                <w:p w14:paraId="39F16D52">
                  <w:pPr>
                    <w:pStyle w:val="30"/>
                    <w:spacing w:before="65" w:line="226" w:lineRule="auto"/>
                    <w:jc w:val="center"/>
                    <w:rPr>
                      <w:rFonts w:ascii="Times New Roman" w:hAnsi="Times New Roman" w:cs="Times New Roman"/>
                      <w:spacing w:val="1"/>
                      <w:sz w:val="21"/>
                      <w:szCs w:val="21"/>
                      <w:lang w:eastAsia="zh-CN"/>
                    </w:rPr>
                  </w:pPr>
                </w:p>
              </w:tc>
              <w:tc>
                <w:tcPr>
                  <w:tcW w:w="6971" w:type="dxa"/>
                  <w:tcBorders>
                    <w:left w:val="single" w:color="auto" w:sz="4" w:space="0"/>
                    <w:bottom w:val="single" w:color="auto" w:sz="4" w:space="0"/>
                    <w:right w:val="single" w:color="auto" w:sz="4" w:space="0"/>
                  </w:tcBorders>
                  <w:vAlign w:val="center"/>
                </w:tcPr>
                <w:p w14:paraId="00ADB593">
                  <w:pPr>
                    <w:pStyle w:val="30"/>
                    <w:spacing w:before="65" w:line="226" w:lineRule="auto"/>
                    <w:jc w:val="left"/>
                    <w:rPr>
                      <w:rFonts w:ascii="Times New Roman" w:hAnsi="Times New Roman" w:cs="Times New Roman"/>
                      <w:spacing w:val="1"/>
                      <w:sz w:val="21"/>
                      <w:szCs w:val="21"/>
                      <w:lang w:eastAsia="zh-CN"/>
                    </w:rPr>
                  </w:pPr>
                  <w:r>
                    <w:rPr>
                      <w:rFonts w:ascii="Times New Roman" w:hAnsi="Times New Roman" w:cs="Times New Roman"/>
                      <w:sz w:val="21"/>
                      <w:szCs w:val="21"/>
                      <w:lang w:eastAsia="zh-CN"/>
                    </w:rPr>
                    <w:t>站内道路为郊区型混凝土道路，220kV及主变区的道路布置成环形路，站区大门至主变区的运输道路宽度为4.5m；电容器的运输道路为4.0m，转弯半径为12.0m。户外配电装置内的检修道路为4.0m，转弯半径为9.0m；接入建筑物的人行道宽度为2.0m。</w:t>
                  </w:r>
                </w:p>
              </w:tc>
            </w:tr>
            <w:tr w14:paraId="29522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459" w:type="dxa"/>
                  <w:vMerge w:val="restart"/>
                  <w:tcBorders>
                    <w:left w:val="single" w:color="auto" w:sz="4" w:space="0"/>
                    <w:right w:val="single" w:color="auto" w:sz="4" w:space="0"/>
                  </w:tcBorders>
                  <w:vAlign w:val="center"/>
                </w:tcPr>
                <w:p w14:paraId="27BA9A15">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b/>
                      <w:bCs/>
                      <w:sz w:val="21"/>
                      <w:szCs w:val="21"/>
                      <w:lang w:eastAsia="zh-CN"/>
                    </w:rPr>
                    <w:t>公用工程</w:t>
                  </w:r>
                </w:p>
              </w:tc>
              <w:tc>
                <w:tcPr>
                  <w:tcW w:w="1280" w:type="dxa"/>
                  <w:gridSpan w:val="4"/>
                  <w:tcBorders>
                    <w:right w:val="single" w:color="auto" w:sz="4" w:space="0"/>
                  </w:tcBorders>
                  <w:vAlign w:val="center"/>
                </w:tcPr>
                <w:p w14:paraId="24BAE589">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供水</w:t>
                  </w:r>
                </w:p>
              </w:tc>
              <w:tc>
                <w:tcPr>
                  <w:tcW w:w="6971" w:type="dxa"/>
                  <w:tcBorders>
                    <w:left w:val="single" w:color="auto" w:sz="4" w:space="0"/>
                    <w:bottom w:val="single" w:color="auto" w:sz="4" w:space="0"/>
                    <w:right w:val="single" w:color="auto" w:sz="4" w:space="0"/>
                  </w:tcBorders>
                  <w:vAlign w:val="center"/>
                </w:tcPr>
                <w:p w14:paraId="3527D76C">
                  <w:pPr>
                    <w:pStyle w:val="30"/>
                    <w:spacing w:before="65" w:line="226" w:lineRule="auto"/>
                    <w:jc w:val="left"/>
                    <w:rPr>
                      <w:rFonts w:ascii="Times New Roman" w:hAnsi="Times New Roman" w:cs="Times New Roman"/>
                      <w:sz w:val="21"/>
                      <w:szCs w:val="21"/>
                      <w:lang w:val="zh-CN" w:eastAsia="zh-CN"/>
                    </w:rPr>
                  </w:pPr>
                  <w:r>
                    <w:rPr>
                      <w:rFonts w:ascii="Times New Roman" w:hAnsi="Times New Roman" w:cs="Times New Roman"/>
                      <w:sz w:val="21"/>
                      <w:szCs w:val="21"/>
                      <w:lang w:eastAsia="zh-CN"/>
                    </w:rPr>
                    <w:t>本项目用水采取市政供水管线接引至本项目区，因市政供水不稳定，升压站内建一座生活水泵站，内有水箱，满足站内一周生活用水。</w:t>
                  </w:r>
                </w:p>
              </w:tc>
            </w:tr>
            <w:tr w14:paraId="5A27F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459" w:type="dxa"/>
                  <w:vMerge w:val="continue"/>
                  <w:tcBorders>
                    <w:left w:val="single" w:color="auto" w:sz="4" w:space="0"/>
                    <w:right w:val="single" w:color="auto" w:sz="4" w:space="0"/>
                  </w:tcBorders>
                  <w:vAlign w:val="center"/>
                </w:tcPr>
                <w:p w14:paraId="036917E7">
                  <w:pPr>
                    <w:pStyle w:val="30"/>
                    <w:spacing w:before="65" w:line="226" w:lineRule="auto"/>
                    <w:jc w:val="center"/>
                    <w:rPr>
                      <w:rFonts w:ascii="Times New Roman" w:hAnsi="Times New Roman" w:cs="Times New Roman"/>
                      <w:sz w:val="21"/>
                      <w:szCs w:val="21"/>
                    </w:rPr>
                  </w:pPr>
                </w:p>
              </w:tc>
              <w:tc>
                <w:tcPr>
                  <w:tcW w:w="1280" w:type="dxa"/>
                  <w:gridSpan w:val="4"/>
                  <w:tcBorders>
                    <w:right w:val="single" w:color="auto" w:sz="4" w:space="0"/>
                  </w:tcBorders>
                  <w:vAlign w:val="center"/>
                </w:tcPr>
                <w:p w14:paraId="22D26E93">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排水</w:t>
                  </w:r>
                </w:p>
              </w:tc>
              <w:tc>
                <w:tcPr>
                  <w:tcW w:w="6971" w:type="dxa"/>
                  <w:tcBorders>
                    <w:left w:val="single" w:color="auto" w:sz="4" w:space="0"/>
                    <w:bottom w:val="single" w:color="auto" w:sz="4" w:space="0"/>
                    <w:right w:val="single" w:color="auto" w:sz="4" w:space="0"/>
                  </w:tcBorders>
                  <w:vAlign w:val="center"/>
                </w:tcPr>
                <w:p w14:paraId="4C1F558A">
                  <w:pPr>
                    <w:pStyle w:val="30"/>
                    <w:spacing w:before="65" w:line="226" w:lineRule="auto"/>
                    <w:jc w:val="left"/>
                    <w:rPr>
                      <w:rFonts w:ascii="Times New Roman" w:hAnsi="Times New Roman" w:cs="Times New Roman"/>
                      <w:sz w:val="21"/>
                      <w:szCs w:val="21"/>
                      <w:lang w:val="zh-CN" w:eastAsia="zh-CN"/>
                    </w:rPr>
                  </w:pPr>
                  <w:r>
                    <w:rPr>
                      <w:rFonts w:ascii="Times New Roman" w:hAnsi="Times New Roman" w:cs="Times New Roman"/>
                      <w:sz w:val="21"/>
                      <w:szCs w:val="21"/>
                      <w:lang w:eastAsia="zh-CN"/>
                    </w:rPr>
                    <w:t>升压站生活污水经地埋式一体化污水处理设备处理后冬季贮存于150m³集水池，夏季回用于生活区绿化。</w:t>
                  </w:r>
                </w:p>
              </w:tc>
            </w:tr>
            <w:tr w14:paraId="41EA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459" w:type="dxa"/>
                  <w:vMerge w:val="continue"/>
                  <w:tcBorders>
                    <w:left w:val="single" w:color="auto" w:sz="4" w:space="0"/>
                    <w:right w:val="single" w:color="auto" w:sz="4" w:space="0"/>
                  </w:tcBorders>
                  <w:vAlign w:val="center"/>
                </w:tcPr>
                <w:p w14:paraId="37F0FF92">
                  <w:pPr>
                    <w:pStyle w:val="30"/>
                    <w:spacing w:before="65" w:line="226" w:lineRule="auto"/>
                    <w:jc w:val="center"/>
                    <w:rPr>
                      <w:rFonts w:ascii="Times New Roman" w:hAnsi="Times New Roman" w:cs="Times New Roman"/>
                      <w:sz w:val="21"/>
                      <w:szCs w:val="21"/>
                    </w:rPr>
                  </w:pPr>
                </w:p>
              </w:tc>
              <w:tc>
                <w:tcPr>
                  <w:tcW w:w="1280" w:type="dxa"/>
                  <w:gridSpan w:val="4"/>
                  <w:tcBorders>
                    <w:right w:val="single" w:color="auto" w:sz="4" w:space="0"/>
                  </w:tcBorders>
                  <w:vAlign w:val="center"/>
                </w:tcPr>
                <w:p w14:paraId="5F50270D">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sz w:val="21"/>
                      <w:szCs w:val="21"/>
                    </w:rPr>
                    <w:t>供暖</w:t>
                  </w:r>
                </w:p>
              </w:tc>
              <w:tc>
                <w:tcPr>
                  <w:tcW w:w="6971" w:type="dxa"/>
                  <w:tcBorders>
                    <w:left w:val="single" w:color="auto" w:sz="4" w:space="0"/>
                    <w:bottom w:val="single" w:color="auto" w:sz="4" w:space="0"/>
                    <w:right w:val="single" w:color="auto" w:sz="4" w:space="0"/>
                  </w:tcBorders>
                  <w:vAlign w:val="center"/>
                </w:tcPr>
                <w:p w14:paraId="47549835">
                  <w:pPr>
                    <w:pStyle w:val="30"/>
                    <w:spacing w:before="65" w:line="226" w:lineRule="auto"/>
                    <w:jc w:val="left"/>
                    <w:rPr>
                      <w:rFonts w:ascii="Times New Roman" w:hAnsi="Times New Roman" w:cs="Times New Roman"/>
                      <w:sz w:val="21"/>
                      <w:szCs w:val="21"/>
                      <w:lang w:val="zh-CN" w:eastAsia="zh-CN"/>
                    </w:rPr>
                  </w:pPr>
                  <w:r>
                    <w:rPr>
                      <w:rFonts w:ascii="Times New Roman" w:hAnsi="Times New Roman" w:cs="Times New Roman"/>
                      <w:sz w:val="21"/>
                      <w:szCs w:val="21"/>
                    </w:rPr>
                    <w:t>设施设备采用电采暖</w:t>
                  </w:r>
                </w:p>
              </w:tc>
            </w:tr>
            <w:tr w14:paraId="73448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459" w:type="dxa"/>
                  <w:vMerge w:val="continue"/>
                  <w:tcBorders>
                    <w:left w:val="single" w:color="auto" w:sz="4" w:space="0"/>
                    <w:right w:val="single" w:color="auto" w:sz="4" w:space="0"/>
                  </w:tcBorders>
                  <w:vAlign w:val="center"/>
                </w:tcPr>
                <w:p w14:paraId="76F94B66">
                  <w:pPr>
                    <w:pStyle w:val="30"/>
                    <w:spacing w:before="65" w:line="226" w:lineRule="auto"/>
                    <w:jc w:val="center"/>
                    <w:rPr>
                      <w:rFonts w:ascii="Times New Roman" w:hAnsi="Times New Roman" w:cs="Times New Roman"/>
                      <w:sz w:val="21"/>
                      <w:szCs w:val="21"/>
                    </w:rPr>
                  </w:pPr>
                </w:p>
              </w:tc>
              <w:tc>
                <w:tcPr>
                  <w:tcW w:w="1280" w:type="dxa"/>
                  <w:gridSpan w:val="4"/>
                  <w:tcBorders>
                    <w:right w:val="single" w:color="auto" w:sz="4" w:space="0"/>
                  </w:tcBorders>
                  <w:vAlign w:val="center"/>
                </w:tcPr>
                <w:p w14:paraId="5C3CEB3C">
                  <w:pPr>
                    <w:pStyle w:val="30"/>
                    <w:spacing w:before="65" w:line="226" w:lineRule="auto"/>
                    <w:jc w:val="center"/>
                    <w:rPr>
                      <w:rFonts w:ascii="Times New Roman" w:hAnsi="Times New Roman" w:cs="Times New Roman"/>
                      <w:sz w:val="21"/>
                      <w:szCs w:val="21"/>
                      <w:lang w:eastAsia="zh-CN"/>
                    </w:rPr>
                  </w:pPr>
                  <w:r>
                    <w:rPr>
                      <w:rFonts w:ascii="Times New Roman" w:hAnsi="Times New Roman" w:cs="Times New Roman"/>
                      <w:sz w:val="21"/>
                      <w:szCs w:val="21"/>
                    </w:rPr>
                    <w:t>供电</w:t>
                  </w:r>
                </w:p>
              </w:tc>
              <w:tc>
                <w:tcPr>
                  <w:tcW w:w="6971" w:type="dxa"/>
                  <w:tcBorders>
                    <w:left w:val="single" w:color="auto" w:sz="4" w:space="0"/>
                    <w:bottom w:val="single" w:color="auto" w:sz="4" w:space="0"/>
                    <w:right w:val="single" w:color="auto" w:sz="4" w:space="0"/>
                  </w:tcBorders>
                  <w:vAlign w:val="center"/>
                </w:tcPr>
                <w:p w14:paraId="0192BDE9">
                  <w:pPr>
                    <w:pStyle w:val="30"/>
                    <w:spacing w:before="65" w:line="226" w:lineRule="auto"/>
                    <w:jc w:val="left"/>
                    <w:rPr>
                      <w:rFonts w:ascii="Times New Roman" w:hAnsi="Times New Roman" w:cs="Times New Roman"/>
                      <w:sz w:val="21"/>
                      <w:szCs w:val="21"/>
                      <w:lang w:val="zh-CN" w:eastAsia="zh-CN"/>
                    </w:rPr>
                  </w:pPr>
                  <w:r>
                    <w:rPr>
                      <w:rFonts w:ascii="Times New Roman" w:hAnsi="Times New Roman" w:cs="Times New Roman"/>
                      <w:sz w:val="21"/>
                      <w:szCs w:val="21"/>
                    </w:rPr>
                    <w:t>就近接入10</w:t>
                  </w:r>
                  <w:r>
                    <w:rPr>
                      <w:rFonts w:ascii="Times New Roman" w:hAnsi="Times New Roman" w:cs="Times New Roman"/>
                      <w:sz w:val="21"/>
                      <w:szCs w:val="21"/>
                      <w:lang w:eastAsia="zh-CN"/>
                    </w:rPr>
                    <w:t>kV</w:t>
                  </w:r>
                  <w:r>
                    <w:rPr>
                      <w:rFonts w:ascii="Times New Roman" w:hAnsi="Times New Roman" w:cs="Times New Roman"/>
                      <w:sz w:val="21"/>
                      <w:szCs w:val="21"/>
                    </w:rPr>
                    <w:t>线路</w:t>
                  </w:r>
                </w:p>
              </w:tc>
            </w:tr>
            <w:tr w14:paraId="3120B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459" w:type="dxa"/>
                  <w:vMerge w:val="restart"/>
                  <w:tcBorders>
                    <w:left w:val="single" w:color="auto" w:sz="4" w:space="0"/>
                  </w:tcBorders>
                  <w:vAlign w:val="center"/>
                </w:tcPr>
                <w:p w14:paraId="5D7E12F2">
                  <w:pPr>
                    <w:jc w:val="center"/>
                    <w:rPr>
                      <w:b/>
                      <w:bCs/>
                      <w:szCs w:val="21"/>
                    </w:rPr>
                  </w:pPr>
                  <w:r>
                    <w:rPr>
                      <w:b/>
                      <w:bCs/>
                      <w:szCs w:val="21"/>
                    </w:rPr>
                    <w:t>环保</w:t>
                  </w:r>
                </w:p>
                <w:p w14:paraId="07198D55">
                  <w:pPr>
                    <w:jc w:val="center"/>
                    <w:rPr>
                      <w:szCs w:val="21"/>
                    </w:rPr>
                  </w:pPr>
                  <w:r>
                    <w:rPr>
                      <w:b/>
                      <w:bCs/>
                      <w:szCs w:val="21"/>
                    </w:rPr>
                    <w:t>工程</w:t>
                  </w:r>
                </w:p>
              </w:tc>
              <w:tc>
                <w:tcPr>
                  <w:tcW w:w="567" w:type="dxa"/>
                  <w:gridSpan w:val="2"/>
                  <w:vMerge w:val="restart"/>
                  <w:tcBorders>
                    <w:top w:val="single" w:color="auto" w:sz="4" w:space="0"/>
                  </w:tcBorders>
                  <w:vAlign w:val="center"/>
                </w:tcPr>
                <w:p w14:paraId="3AE0B45A">
                  <w:pPr>
                    <w:pStyle w:val="30"/>
                    <w:spacing w:before="44" w:line="228" w:lineRule="auto"/>
                    <w:jc w:val="center"/>
                    <w:rPr>
                      <w:rFonts w:ascii="Times New Roman" w:hAnsi="Times New Roman" w:cs="Times New Roman"/>
                      <w:spacing w:val="7"/>
                      <w:sz w:val="21"/>
                      <w:szCs w:val="21"/>
                      <w:lang w:eastAsia="zh-CN"/>
                    </w:rPr>
                  </w:pPr>
                  <w:r>
                    <w:rPr>
                      <w:rFonts w:ascii="Times New Roman" w:hAnsi="Times New Roman" w:cs="Times New Roman"/>
                      <w:spacing w:val="6"/>
                      <w:sz w:val="21"/>
                      <w:szCs w:val="21"/>
                      <w:lang w:eastAsia="zh-CN"/>
                    </w:rPr>
                    <w:t>废气治理</w:t>
                  </w:r>
                </w:p>
              </w:tc>
              <w:tc>
                <w:tcPr>
                  <w:tcW w:w="713" w:type="dxa"/>
                  <w:gridSpan w:val="2"/>
                  <w:tcBorders>
                    <w:top w:val="single" w:color="auto" w:sz="4" w:space="0"/>
                    <w:bottom w:val="single" w:color="auto" w:sz="4" w:space="0"/>
                  </w:tcBorders>
                  <w:vAlign w:val="center"/>
                </w:tcPr>
                <w:p w14:paraId="36B8888E">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施工期</w:t>
                  </w:r>
                </w:p>
              </w:tc>
              <w:tc>
                <w:tcPr>
                  <w:tcW w:w="6971" w:type="dxa"/>
                  <w:tcBorders>
                    <w:top w:val="single" w:color="auto" w:sz="4" w:space="0"/>
                    <w:right w:val="single" w:color="auto" w:sz="4" w:space="0"/>
                  </w:tcBorders>
                  <w:vAlign w:val="center"/>
                </w:tcPr>
                <w:p w14:paraId="67B9746F">
                  <w:pPr>
                    <w:widowControl/>
                    <w:jc w:val="left"/>
                    <w:rPr>
                      <w:szCs w:val="21"/>
                    </w:rPr>
                  </w:pPr>
                  <w:r>
                    <w:rPr>
                      <w:szCs w:val="21"/>
                    </w:rPr>
                    <w:t>施工区定期洒水降尘，运输车辆严禁超载，限制车速，运输时采用篷布遮盖；</w:t>
                  </w:r>
                </w:p>
              </w:tc>
            </w:tr>
            <w:tr w14:paraId="380D0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459" w:type="dxa"/>
                  <w:vMerge w:val="continue"/>
                  <w:tcBorders>
                    <w:left w:val="single" w:color="auto" w:sz="4" w:space="0"/>
                  </w:tcBorders>
                  <w:vAlign w:val="center"/>
                </w:tcPr>
                <w:p w14:paraId="2A18F516">
                  <w:pPr>
                    <w:pStyle w:val="30"/>
                    <w:spacing w:before="44" w:line="228" w:lineRule="auto"/>
                    <w:jc w:val="center"/>
                    <w:rPr>
                      <w:rFonts w:ascii="Times New Roman" w:hAnsi="Times New Roman" w:cs="Times New Roman"/>
                      <w:sz w:val="21"/>
                      <w:szCs w:val="21"/>
                    </w:rPr>
                  </w:pPr>
                </w:p>
              </w:tc>
              <w:tc>
                <w:tcPr>
                  <w:tcW w:w="567" w:type="dxa"/>
                  <w:gridSpan w:val="2"/>
                  <w:vMerge w:val="continue"/>
                  <w:tcBorders>
                    <w:bottom w:val="single" w:color="auto" w:sz="4" w:space="0"/>
                  </w:tcBorders>
                  <w:vAlign w:val="center"/>
                </w:tcPr>
                <w:p w14:paraId="25C16753">
                  <w:pPr>
                    <w:pStyle w:val="30"/>
                    <w:spacing w:before="44" w:line="228" w:lineRule="auto"/>
                    <w:jc w:val="center"/>
                    <w:rPr>
                      <w:rFonts w:ascii="Times New Roman" w:hAnsi="Times New Roman" w:cs="Times New Roman"/>
                      <w:spacing w:val="6"/>
                      <w:sz w:val="21"/>
                      <w:szCs w:val="21"/>
                      <w:lang w:eastAsia="zh-CN"/>
                    </w:rPr>
                  </w:pPr>
                </w:p>
              </w:tc>
              <w:tc>
                <w:tcPr>
                  <w:tcW w:w="713" w:type="dxa"/>
                  <w:gridSpan w:val="2"/>
                  <w:tcBorders>
                    <w:top w:val="single" w:color="auto" w:sz="4" w:space="0"/>
                    <w:bottom w:val="single" w:color="auto" w:sz="4" w:space="0"/>
                  </w:tcBorders>
                  <w:vAlign w:val="center"/>
                </w:tcPr>
                <w:p w14:paraId="630D1B93">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运营期</w:t>
                  </w:r>
                </w:p>
              </w:tc>
              <w:tc>
                <w:tcPr>
                  <w:tcW w:w="6971" w:type="dxa"/>
                  <w:tcBorders>
                    <w:bottom w:val="single" w:color="auto" w:sz="4" w:space="0"/>
                    <w:right w:val="single" w:color="auto" w:sz="4" w:space="0"/>
                  </w:tcBorders>
                  <w:vAlign w:val="center"/>
                </w:tcPr>
                <w:p w14:paraId="20FFB36D">
                  <w:pPr>
                    <w:pStyle w:val="30"/>
                    <w:spacing w:before="65" w:line="226" w:lineRule="auto"/>
                    <w:jc w:val="left"/>
                    <w:rPr>
                      <w:rFonts w:ascii="Times New Roman" w:hAnsi="Times New Roman" w:cs="Times New Roman"/>
                      <w:sz w:val="21"/>
                      <w:szCs w:val="21"/>
                      <w:lang w:eastAsia="zh-CN"/>
                    </w:rPr>
                  </w:pPr>
                  <w:r>
                    <w:rPr>
                      <w:rFonts w:ascii="Times New Roman" w:hAnsi="Times New Roman" w:cs="Times New Roman"/>
                      <w:sz w:val="21"/>
                      <w:szCs w:val="21"/>
                      <w:lang w:eastAsia="zh-CN"/>
                    </w:rPr>
                    <w:t>运营期废气主要来自生活区的食堂油烟，安装食堂油烟净化器</w:t>
                  </w:r>
                  <w:r>
                    <w:rPr>
                      <w:rFonts w:hint="eastAsia" w:ascii="Times New Roman" w:hAnsi="Times New Roman" w:cs="Times New Roman"/>
                      <w:sz w:val="21"/>
                      <w:szCs w:val="21"/>
                      <w:lang w:eastAsia="zh-CN"/>
                    </w:rPr>
                    <w:t>。</w:t>
                  </w:r>
                </w:p>
              </w:tc>
            </w:tr>
            <w:tr w14:paraId="0D0C2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59" w:type="dxa"/>
                  <w:vMerge w:val="continue"/>
                  <w:tcBorders>
                    <w:left w:val="single" w:color="auto" w:sz="4" w:space="0"/>
                  </w:tcBorders>
                  <w:vAlign w:val="center"/>
                </w:tcPr>
                <w:p w14:paraId="1019F8AF">
                  <w:pPr>
                    <w:rPr>
                      <w:szCs w:val="21"/>
                    </w:rPr>
                  </w:pPr>
                </w:p>
              </w:tc>
              <w:tc>
                <w:tcPr>
                  <w:tcW w:w="567" w:type="dxa"/>
                  <w:gridSpan w:val="2"/>
                  <w:vMerge w:val="restart"/>
                  <w:tcBorders>
                    <w:top w:val="single" w:color="auto" w:sz="4" w:space="0"/>
                  </w:tcBorders>
                  <w:vAlign w:val="center"/>
                </w:tcPr>
                <w:p w14:paraId="1358131F">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废水治理</w:t>
                  </w:r>
                </w:p>
              </w:tc>
              <w:tc>
                <w:tcPr>
                  <w:tcW w:w="713" w:type="dxa"/>
                  <w:gridSpan w:val="2"/>
                  <w:tcBorders>
                    <w:top w:val="single" w:color="auto" w:sz="4" w:space="0"/>
                    <w:bottom w:val="single" w:color="auto" w:sz="4" w:space="0"/>
                  </w:tcBorders>
                  <w:vAlign w:val="center"/>
                </w:tcPr>
                <w:p w14:paraId="5EFE72CE">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施工期</w:t>
                  </w:r>
                </w:p>
              </w:tc>
              <w:tc>
                <w:tcPr>
                  <w:tcW w:w="6971" w:type="dxa"/>
                  <w:tcBorders>
                    <w:top w:val="single" w:color="auto" w:sz="4" w:space="0"/>
                    <w:right w:val="single" w:color="auto" w:sz="4" w:space="0"/>
                  </w:tcBorders>
                  <w:vAlign w:val="center"/>
                </w:tcPr>
                <w:p w14:paraId="7E5A1599">
                  <w:pPr>
                    <w:pStyle w:val="30"/>
                    <w:spacing w:before="65" w:line="226" w:lineRule="auto"/>
                    <w:jc w:val="left"/>
                    <w:rPr>
                      <w:rFonts w:ascii="Times New Roman" w:hAnsi="Times New Roman" w:cs="Times New Roman"/>
                      <w:sz w:val="21"/>
                      <w:szCs w:val="21"/>
                      <w:lang w:eastAsia="zh-CN"/>
                    </w:rPr>
                  </w:pPr>
                  <w:r>
                    <w:rPr>
                      <w:rFonts w:ascii="Times New Roman" w:hAnsi="Times New Roman" w:cs="Times New Roman"/>
                      <w:sz w:val="21"/>
                      <w:szCs w:val="21"/>
                      <w:lang w:eastAsia="zh-CN"/>
                    </w:rPr>
                    <w:t>施工生产废水经沉淀池沉淀后用于泼洒地面降尘</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生活区设置移动环保厕所，施工期</w:t>
                  </w:r>
                  <w:r>
                    <w:rPr>
                      <w:rFonts w:hint="eastAsia" w:ascii="Times New Roman" w:hAnsi="Times New Roman" w:cs="Times New Roman"/>
                      <w:sz w:val="21"/>
                      <w:szCs w:val="21"/>
                      <w:lang w:eastAsia="zh-CN"/>
                    </w:rPr>
                    <w:t>定期</w:t>
                  </w:r>
                  <w:r>
                    <w:rPr>
                      <w:rFonts w:ascii="Times New Roman" w:hAnsi="Times New Roman" w:cs="Times New Roman"/>
                      <w:sz w:val="21"/>
                      <w:szCs w:val="21"/>
                      <w:lang w:eastAsia="zh-CN"/>
                    </w:rPr>
                    <w:t>清掏，并拉运至托克逊县生活污水处理厂处理。</w:t>
                  </w:r>
                </w:p>
              </w:tc>
            </w:tr>
            <w:tr w14:paraId="55BA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59" w:type="dxa"/>
                  <w:vMerge w:val="continue"/>
                  <w:tcBorders>
                    <w:left w:val="single" w:color="auto" w:sz="4" w:space="0"/>
                  </w:tcBorders>
                  <w:vAlign w:val="center"/>
                </w:tcPr>
                <w:p w14:paraId="60750A43">
                  <w:pPr>
                    <w:pStyle w:val="30"/>
                    <w:spacing w:before="44" w:line="228" w:lineRule="auto"/>
                    <w:jc w:val="center"/>
                    <w:rPr>
                      <w:rFonts w:ascii="Times New Roman" w:hAnsi="Times New Roman" w:cs="Times New Roman"/>
                      <w:sz w:val="21"/>
                      <w:szCs w:val="21"/>
                    </w:rPr>
                  </w:pPr>
                </w:p>
              </w:tc>
              <w:tc>
                <w:tcPr>
                  <w:tcW w:w="567" w:type="dxa"/>
                  <w:gridSpan w:val="2"/>
                  <w:vMerge w:val="continue"/>
                  <w:tcBorders>
                    <w:bottom w:val="single" w:color="auto" w:sz="4" w:space="0"/>
                  </w:tcBorders>
                  <w:vAlign w:val="center"/>
                </w:tcPr>
                <w:p w14:paraId="2A95534A">
                  <w:pPr>
                    <w:pStyle w:val="30"/>
                    <w:spacing w:before="44" w:line="228" w:lineRule="auto"/>
                    <w:jc w:val="center"/>
                    <w:rPr>
                      <w:rFonts w:ascii="Times New Roman" w:hAnsi="Times New Roman" w:cs="Times New Roman"/>
                      <w:sz w:val="21"/>
                      <w:szCs w:val="21"/>
                    </w:rPr>
                  </w:pPr>
                </w:p>
              </w:tc>
              <w:tc>
                <w:tcPr>
                  <w:tcW w:w="713" w:type="dxa"/>
                  <w:gridSpan w:val="2"/>
                  <w:tcBorders>
                    <w:top w:val="single" w:color="auto" w:sz="4" w:space="0"/>
                    <w:bottom w:val="single" w:color="auto" w:sz="4" w:space="0"/>
                  </w:tcBorders>
                  <w:vAlign w:val="center"/>
                </w:tcPr>
                <w:p w14:paraId="376A4F5D">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运营期</w:t>
                  </w:r>
                </w:p>
              </w:tc>
              <w:tc>
                <w:tcPr>
                  <w:tcW w:w="6971" w:type="dxa"/>
                  <w:tcBorders>
                    <w:bottom w:val="single" w:color="auto" w:sz="4" w:space="0"/>
                    <w:right w:val="single" w:color="auto" w:sz="4" w:space="0"/>
                  </w:tcBorders>
                  <w:vAlign w:val="center"/>
                </w:tcPr>
                <w:p w14:paraId="0EE58DD8">
                  <w:pPr>
                    <w:widowControl/>
                    <w:jc w:val="left"/>
                    <w:rPr>
                      <w:szCs w:val="21"/>
                    </w:rPr>
                  </w:pPr>
                  <w:r>
                    <w:rPr>
                      <w:szCs w:val="21"/>
                    </w:rPr>
                    <w:t>运营期生活区的生活污水经地埋式一体化污水处理设备处理后，冬季贮存于150m³集水池，夏季回用于生活区绿化。</w:t>
                  </w:r>
                </w:p>
              </w:tc>
            </w:tr>
            <w:tr w14:paraId="4D85C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459" w:type="dxa"/>
                  <w:vMerge w:val="continue"/>
                  <w:tcBorders>
                    <w:left w:val="single" w:color="auto" w:sz="4" w:space="0"/>
                  </w:tcBorders>
                  <w:vAlign w:val="center"/>
                </w:tcPr>
                <w:p w14:paraId="67779BE7">
                  <w:pPr>
                    <w:rPr>
                      <w:szCs w:val="21"/>
                    </w:rPr>
                  </w:pPr>
                </w:p>
              </w:tc>
              <w:tc>
                <w:tcPr>
                  <w:tcW w:w="567" w:type="dxa"/>
                  <w:gridSpan w:val="2"/>
                  <w:vMerge w:val="restart"/>
                  <w:tcBorders>
                    <w:top w:val="single" w:color="auto" w:sz="4" w:space="0"/>
                  </w:tcBorders>
                  <w:vAlign w:val="center"/>
                </w:tcPr>
                <w:p w14:paraId="5F786507">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噪声治理</w:t>
                  </w:r>
                </w:p>
              </w:tc>
              <w:tc>
                <w:tcPr>
                  <w:tcW w:w="713" w:type="dxa"/>
                  <w:gridSpan w:val="2"/>
                  <w:tcBorders>
                    <w:top w:val="single" w:color="auto" w:sz="4" w:space="0"/>
                    <w:bottom w:val="single" w:color="auto" w:sz="4" w:space="0"/>
                  </w:tcBorders>
                  <w:shd w:val="clear" w:color="auto" w:fill="auto"/>
                  <w:vAlign w:val="center"/>
                </w:tcPr>
                <w:p w14:paraId="22BD4253">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施工期</w:t>
                  </w:r>
                </w:p>
              </w:tc>
              <w:tc>
                <w:tcPr>
                  <w:tcW w:w="6971" w:type="dxa"/>
                  <w:tcBorders>
                    <w:top w:val="single" w:color="auto" w:sz="4" w:space="0"/>
                    <w:right w:val="single" w:color="auto" w:sz="4" w:space="0"/>
                  </w:tcBorders>
                  <w:vAlign w:val="center"/>
                </w:tcPr>
                <w:p w14:paraId="42FE85FC">
                  <w:pPr>
                    <w:pStyle w:val="30"/>
                    <w:spacing w:before="65" w:line="226" w:lineRule="auto"/>
                    <w:jc w:val="left"/>
                    <w:rPr>
                      <w:rFonts w:ascii="Times New Roman" w:hAnsi="Times New Roman" w:cs="Times New Roman"/>
                      <w:sz w:val="21"/>
                      <w:szCs w:val="21"/>
                      <w:lang w:eastAsia="zh-CN"/>
                    </w:rPr>
                  </w:pPr>
                  <w:r>
                    <w:rPr>
                      <w:rFonts w:ascii="Times New Roman" w:hAnsi="Times New Roman" w:cs="Times New Roman"/>
                      <w:sz w:val="21"/>
                      <w:szCs w:val="21"/>
                      <w:lang w:eastAsia="zh-CN"/>
                    </w:rPr>
                    <w:t>合理安排施工时间，采用隔声降噪措施。</w:t>
                  </w:r>
                </w:p>
              </w:tc>
            </w:tr>
            <w:tr w14:paraId="79EA6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9" w:type="dxa"/>
                  <w:vMerge w:val="continue"/>
                  <w:tcBorders>
                    <w:left w:val="single" w:color="auto" w:sz="4" w:space="0"/>
                  </w:tcBorders>
                  <w:vAlign w:val="center"/>
                </w:tcPr>
                <w:p w14:paraId="340D7C49">
                  <w:pPr>
                    <w:pStyle w:val="30"/>
                    <w:spacing w:before="44" w:line="228" w:lineRule="auto"/>
                    <w:jc w:val="center"/>
                    <w:rPr>
                      <w:rFonts w:ascii="Times New Roman" w:hAnsi="Times New Roman" w:cs="Times New Roman"/>
                      <w:sz w:val="21"/>
                      <w:szCs w:val="21"/>
                    </w:rPr>
                  </w:pPr>
                </w:p>
              </w:tc>
              <w:tc>
                <w:tcPr>
                  <w:tcW w:w="567" w:type="dxa"/>
                  <w:gridSpan w:val="2"/>
                  <w:vMerge w:val="continue"/>
                  <w:tcBorders>
                    <w:bottom w:val="single" w:color="auto" w:sz="4" w:space="0"/>
                  </w:tcBorders>
                  <w:vAlign w:val="center"/>
                </w:tcPr>
                <w:p w14:paraId="4A61FB2B">
                  <w:pPr>
                    <w:pStyle w:val="30"/>
                    <w:spacing w:before="44" w:line="228" w:lineRule="auto"/>
                    <w:jc w:val="center"/>
                    <w:rPr>
                      <w:rFonts w:ascii="Times New Roman" w:hAnsi="Times New Roman" w:cs="Times New Roman"/>
                      <w:sz w:val="21"/>
                      <w:szCs w:val="21"/>
                    </w:rPr>
                  </w:pPr>
                </w:p>
              </w:tc>
              <w:tc>
                <w:tcPr>
                  <w:tcW w:w="713" w:type="dxa"/>
                  <w:gridSpan w:val="2"/>
                  <w:tcBorders>
                    <w:top w:val="single" w:color="auto" w:sz="4" w:space="0"/>
                    <w:bottom w:val="single" w:color="auto" w:sz="4" w:space="0"/>
                  </w:tcBorders>
                  <w:shd w:val="clear" w:color="auto" w:fill="auto"/>
                  <w:vAlign w:val="center"/>
                </w:tcPr>
                <w:p w14:paraId="03B14A0C">
                  <w:pPr>
                    <w:pStyle w:val="30"/>
                    <w:spacing w:before="44" w:line="228" w:lineRule="auto"/>
                    <w:jc w:val="center"/>
                    <w:rPr>
                      <w:rFonts w:ascii="Times New Roman" w:hAnsi="Times New Roman" w:cs="Times New Roman"/>
                      <w:color w:val="000000" w:themeColor="text1"/>
                      <w:spacing w:val="6"/>
                      <w:sz w:val="21"/>
                      <w:szCs w:val="21"/>
                      <w:lang w:eastAsia="zh-CN"/>
                    </w:rPr>
                  </w:pPr>
                  <w:r>
                    <w:rPr>
                      <w:rFonts w:ascii="Times New Roman" w:hAnsi="Times New Roman" w:cs="Times New Roman"/>
                      <w:color w:val="000000" w:themeColor="text1"/>
                      <w:spacing w:val="6"/>
                      <w:sz w:val="21"/>
                      <w:szCs w:val="21"/>
                      <w:lang w:eastAsia="zh-CN"/>
                    </w:rPr>
                    <w:t>运营期</w:t>
                  </w:r>
                </w:p>
              </w:tc>
              <w:tc>
                <w:tcPr>
                  <w:tcW w:w="6971" w:type="dxa"/>
                  <w:tcBorders>
                    <w:bottom w:val="single" w:color="auto" w:sz="4" w:space="0"/>
                    <w:right w:val="single" w:color="auto" w:sz="4" w:space="0"/>
                  </w:tcBorders>
                  <w:vAlign w:val="center"/>
                </w:tcPr>
                <w:p w14:paraId="77C3F2E2">
                  <w:pPr>
                    <w:pStyle w:val="30"/>
                    <w:spacing w:before="65" w:line="240" w:lineRule="auto"/>
                    <w:jc w:val="left"/>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①</w:t>
                  </w:r>
                  <w:r>
                    <w:rPr>
                      <w:rFonts w:hint="eastAsia" w:ascii="Times New Roman" w:hAnsi="Times New Roman" w:cs="Times New Roman"/>
                      <w:color w:val="000000" w:themeColor="text1"/>
                      <w:sz w:val="21"/>
                      <w:szCs w:val="21"/>
                      <w:lang w:eastAsia="zh-CN"/>
                    </w:rPr>
                    <w:t>升压站首先选择低噪声的设备，合理布局站内电气设备及配电装置；加强站内电气设备的日常维护，避免设备异常噪声排放以减少噪声对站区环境的影响</w:t>
                  </w:r>
                </w:p>
                <w:p w14:paraId="5BED2588">
                  <w:pPr>
                    <w:pStyle w:val="30"/>
                    <w:spacing w:before="65" w:line="240" w:lineRule="auto"/>
                    <w:jc w:val="left"/>
                    <w:rPr>
                      <w:rFonts w:hint="eastAsia"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②</w:t>
                  </w:r>
                  <w:r>
                    <w:rPr>
                      <w:rFonts w:hint="eastAsia" w:ascii="Times New Roman" w:hAnsi="Times New Roman" w:cs="Times New Roman"/>
                      <w:color w:val="000000" w:themeColor="text1"/>
                      <w:sz w:val="21"/>
                      <w:szCs w:val="21"/>
                      <w:lang w:eastAsia="zh-CN"/>
                    </w:rPr>
                    <w:t>优化输电线路的导线特性，如提高表面光洁度、适当加大导线截面直径等，降低线路噪声水平。</w:t>
                  </w:r>
                </w:p>
                <w:p w14:paraId="47FF5346">
                  <w:pPr>
                    <w:pStyle w:val="30"/>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fldChar w:fldCharType="begin"/>
                  </w:r>
                  <w:r>
                    <w:rPr>
                      <w:rFonts w:ascii="Times New Roman" w:hAnsi="Times New Roman" w:cs="Times New Roman"/>
                      <w:color w:val="000000" w:themeColor="text1"/>
                      <w:sz w:val="21"/>
                      <w:szCs w:val="21"/>
                      <w:lang w:eastAsia="zh-CN"/>
                    </w:rPr>
                    <w:instrText xml:space="preserve"> </w:instrText>
                  </w:r>
                  <w:r>
                    <w:rPr>
                      <w:rFonts w:hint="eastAsia" w:ascii="Times New Roman" w:hAnsi="Times New Roman" w:cs="Times New Roman"/>
                      <w:color w:val="000000" w:themeColor="text1"/>
                      <w:sz w:val="21"/>
                      <w:szCs w:val="21"/>
                      <w:lang w:eastAsia="zh-CN"/>
                    </w:rPr>
                    <w:instrText xml:space="preserve">= 3 \* GB3</w:instrText>
                  </w:r>
                  <w:r>
                    <w:rPr>
                      <w:rFonts w:ascii="Times New Roman" w:hAnsi="Times New Roman" w:cs="Times New Roman"/>
                      <w:color w:val="000000" w:themeColor="text1"/>
                      <w:sz w:val="21"/>
                      <w:szCs w:val="21"/>
                      <w:lang w:eastAsia="zh-CN"/>
                    </w:rPr>
                    <w:instrText xml:space="preserve"> </w:instrText>
                  </w:r>
                  <w:r>
                    <w:rPr>
                      <w:rFonts w:ascii="Times New Roman" w:hAnsi="Times New Roman" w:cs="Times New Roman"/>
                      <w:color w:val="000000" w:themeColor="text1"/>
                      <w:sz w:val="21"/>
                      <w:szCs w:val="21"/>
                      <w:lang w:eastAsia="zh-CN"/>
                    </w:rPr>
                    <w:fldChar w:fldCharType="separate"/>
                  </w:r>
                  <w:r>
                    <w:rPr>
                      <w:rFonts w:hint="eastAsia" w:ascii="Times New Roman" w:hAnsi="Times New Roman" w:cs="Times New Roman"/>
                      <w:color w:val="000000" w:themeColor="text1"/>
                      <w:sz w:val="21"/>
                      <w:szCs w:val="21"/>
                      <w:lang w:eastAsia="zh-CN"/>
                    </w:rPr>
                    <w:t>③</w:t>
                  </w:r>
                  <w:r>
                    <w:rPr>
                      <w:rFonts w:ascii="Times New Roman" w:hAnsi="Times New Roman" w:cs="Times New Roman"/>
                      <w:color w:val="000000" w:themeColor="text1"/>
                      <w:sz w:val="21"/>
                      <w:szCs w:val="21"/>
                      <w:lang w:eastAsia="zh-CN"/>
                    </w:rPr>
                    <w:fldChar w:fldCharType="end"/>
                  </w:r>
                  <w:r>
                    <w:rPr>
                      <w:rFonts w:hint="eastAsia" w:ascii="Times New Roman" w:hAnsi="Times New Roman" w:cs="Times New Roman"/>
                      <w:color w:val="000000" w:themeColor="text1"/>
                      <w:sz w:val="21"/>
                      <w:szCs w:val="21"/>
                      <w:lang w:eastAsia="zh-CN"/>
                    </w:rPr>
                    <w:t>库米什220kV变电站间隔扩建不新增较大噪声源，对变电站周边环境影响基本无影响。</w:t>
                  </w:r>
                </w:p>
              </w:tc>
            </w:tr>
            <w:tr w14:paraId="50745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left w:val="single" w:color="auto" w:sz="4" w:space="0"/>
                  </w:tcBorders>
                  <w:vAlign w:val="center"/>
                </w:tcPr>
                <w:p w14:paraId="113B46E3">
                  <w:pPr>
                    <w:rPr>
                      <w:szCs w:val="21"/>
                    </w:rPr>
                  </w:pPr>
                </w:p>
              </w:tc>
              <w:tc>
                <w:tcPr>
                  <w:tcW w:w="567" w:type="dxa"/>
                  <w:gridSpan w:val="2"/>
                  <w:vMerge w:val="restart"/>
                  <w:tcBorders>
                    <w:top w:val="single" w:color="auto" w:sz="4" w:space="0"/>
                  </w:tcBorders>
                  <w:vAlign w:val="center"/>
                </w:tcPr>
                <w:p w14:paraId="289F2E92">
                  <w:pPr>
                    <w:pStyle w:val="30"/>
                    <w:spacing w:before="51" w:line="228" w:lineRule="auto"/>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固废</w:t>
                  </w:r>
                </w:p>
                <w:p w14:paraId="72120E49">
                  <w:pPr>
                    <w:pStyle w:val="30"/>
                    <w:spacing w:before="51" w:line="228" w:lineRule="auto"/>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治理</w:t>
                  </w:r>
                </w:p>
              </w:tc>
              <w:tc>
                <w:tcPr>
                  <w:tcW w:w="713" w:type="dxa"/>
                  <w:gridSpan w:val="2"/>
                  <w:tcBorders>
                    <w:top w:val="single" w:color="auto" w:sz="4" w:space="0"/>
                    <w:bottom w:val="single" w:color="auto" w:sz="4" w:space="0"/>
                  </w:tcBorders>
                  <w:vAlign w:val="center"/>
                </w:tcPr>
                <w:p w14:paraId="74B3B017">
                  <w:pPr>
                    <w:pStyle w:val="30"/>
                    <w:spacing w:before="44" w:line="228" w:lineRule="auto"/>
                    <w:jc w:val="center"/>
                    <w:rPr>
                      <w:rFonts w:ascii="Times New Roman" w:hAnsi="Times New Roman" w:cs="Times New Roman"/>
                      <w:spacing w:val="2"/>
                      <w:sz w:val="21"/>
                      <w:szCs w:val="21"/>
                      <w:lang w:eastAsia="zh-CN"/>
                    </w:rPr>
                  </w:pPr>
                  <w:r>
                    <w:rPr>
                      <w:rFonts w:ascii="Times New Roman" w:hAnsi="Times New Roman" w:cs="Times New Roman"/>
                      <w:spacing w:val="6"/>
                      <w:sz w:val="21"/>
                      <w:szCs w:val="21"/>
                      <w:lang w:eastAsia="zh-CN"/>
                    </w:rPr>
                    <w:t>施工期</w:t>
                  </w:r>
                </w:p>
              </w:tc>
              <w:tc>
                <w:tcPr>
                  <w:tcW w:w="6971" w:type="dxa"/>
                  <w:tcBorders>
                    <w:top w:val="single" w:color="auto" w:sz="4" w:space="0"/>
                    <w:right w:val="single" w:color="auto" w:sz="4" w:space="0"/>
                  </w:tcBorders>
                  <w:vAlign w:val="center"/>
                </w:tcPr>
                <w:p w14:paraId="0E921D07">
                  <w:pPr>
                    <w:spacing w:line="240" w:lineRule="auto"/>
                    <w:rPr>
                      <w:szCs w:val="21"/>
                    </w:rPr>
                  </w:pPr>
                  <w:r>
                    <w:rPr>
                      <w:rFonts w:hint="eastAsia" w:ascii="Times New Roman" w:hAnsi="Times New Roman" w:eastAsia="宋体" w:cs="Times New Roman"/>
                      <w:kern w:val="2"/>
                      <w:sz w:val="21"/>
                      <w:szCs w:val="21"/>
                      <w:lang w:val="en-US" w:eastAsia="zh-CN" w:bidi="ar-SA"/>
                    </w:rPr>
                    <w:t>生活垃圾集中收集至带盖垃圾箱内，定期清运至库米什镇就近的生活垃圾收集点，最终由库米什镇环卫部门统一清运处置；建筑垃圾施工方应充分回收利用，不可回收部分运往建筑部门指定地点妥善堆存</w:t>
                  </w:r>
                  <w:r>
                    <w:rPr>
                      <w:szCs w:val="21"/>
                    </w:rPr>
                    <w:t>。</w:t>
                  </w:r>
                </w:p>
              </w:tc>
            </w:tr>
            <w:tr w14:paraId="2AB9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left w:val="single" w:color="auto" w:sz="4" w:space="0"/>
                  </w:tcBorders>
                  <w:vAlign w:val="center"/>
                </w:tcPr>
                <w:p w14:paraId="7FBC2B66">
                  <w:pPr>
                    <w:pStyle w:val="30"/>
                    <w:spacing w:before="51" w:line="228" w:lineRule="auto"/>
                    <w:jc w:val="center"/>
                    <w:rPr>
                      <w:rFonts w:ascii="Times New Roman" w:hAnsi="Times New Roman" w:cs="Times New Roman"/>
                      <w:sz w:val="21"/>
                      <w:szCs w:val="21"/>
                    </w:rPr>
                  </w:pPr>
                </w:p>
              </w:tc>
              <w:tc>
                <w:tcPr>
                  <w:tcW w:w="567" w:type="dxa"/>
                  <w:gridSpan w:val="2"/>
                  <w:vMerge w:val="continue"/>
                  <w:tcBorders>
                    <w:bottom w:val="single" w:color="auto" w:sz="4" w:space="0"/>
                  </w:tcBorders>
                  <w:vAlign w:val="center"/>
                </w:tcPr>
                <w:p w14:paraId="2D0A636B">
                  <w:pPr>
                    <w:pStyle w:val="30"/>
                    <w:spacing w:before="51" w:line="228" w:lineRule="auto"/>
                    <w:jc w:val="center"/>
                    <w:rPr>
                      <w:rFonts w:ascii="Times New Roman" w:hAnsi="Times New Roman" w:cs="Times New Roman"/>
                      <w:sz w:val="21"/>
                      <w:szCs w:val="21"/>
                    </w:rPr>
                  </w:pPr>
                </w:p>
              </w:tc>
              <w:tc>
                <w:tcPr>
                  <w:tcW w:w="713" w:type="dxa"/>
                  <w:gridSpan w:val="2"/>
                  <w:tcBorders>
                    <w:top w:val="single" w:color="auto" w:sz="4" w:space="0"/>
                    <w:bottom w:val="single" w:color="auto" w:sz="4" w:space="0"/>
                  </w:tcBorders>
                  <w:vAlign w:val="center"/>
                </w:tcPr>
                <w:p w14:paraId="2C9A5794">
                  <w:pPr>
                    <w:pStyle w:val="30"/>
                    <w:spacing w:before="44" w:line="228" w:lineRule="auto"/>
                    <w:jc w:val="center"/>
                    <w:rPr>
                      <w:rFonts w:ascii="Times New Roman" w:hAnsi="Times New Roman" w:cs="Times New Roman"/>
                      <w:spacing w:val="2"/>
                      <w:sz w:val="21"/>
                      <w:szCs w:val="21"/>
                      <w:lang w:eastAsia="zh-CN"/>
                    </w:rPr>
                  </w:pPr>
                  <w:r>
                    <w:rPr>
                      <w:rFonts w:ascii="Times New Roman" w:hAnsi="Times New Roman" w:cs="Times New Roman"/>
                      <w:spacing w:val="6"/>
                      <w:sz w:val="21"/>
                      <w:szCs w:val="21"/>
                      <w:lang w:eastAsia="zh-CN"/>
                    </w:rPr>
                    <w:t>运营期</w:t>
                  </w:r>
                </w:p>
              </w:tc>
              <w:tc>
                <w:tcPr>
                  <w:tcW w:w="6971" w:type="dxa"/>
                  <w:tcBorders>
                    <w:bottom w:val="single" w:color="auto" w:sz="4" w:space="0"/>
                    <w:right w:val="single" w:color="auto" w:sz="4" w:space="0"/>
                  </w:tcBorders>
                  <w:vAlign w:val="center"/>
                </w:tcPr>
                <w:p w14:paraId="76CCAF10">
                  <w:pPr>
                    <w:widowControl/>
                    <w:jc w:val="left"/>
                    <w:rPr>
                      <w:szCs w:val="21"/>
                      <w:lang w:val="zh-CN"/>
                    </w:rPr>
                  </w:pPr>
                  <w:r>
                    <w:rPr>
                      <w:szCs w:val="21"/>
                      <w:lang w:val="zh-CN"/>
                    </w:rPr>
                    <w:t>①本项目设置带盖垃圾箱，生活垃圾、食堂隔油池油泥集中收集到带盖垃圾箱内，定期清运至库米什镇就近的生活垃圾收集点，最终由库米什镇环卫部门统一清运处置。</w:t>
                  </w:r>
                </w:p>
                <w:p w14:paraId="5CD8206B">
                  <w:pPr>
                    <w:widowControl/>
                    <w:jc w:val="left"/>
                    <w:rPr>
                      <w:szCs w:val="21"/>
                      <w:lang w:val="zh-CN"/>
                    </w:rPr>
                  </w:pPr>
                  <w:r>
                    <w:rPr>
                      <w:szCs w:val="21"/>
                      <w:lang w:val="zh-CN"/>
                    </w:rPr>
                    <w:t>②本环评要求在升压站的管理区内设置1间危废暂存间。</w:t>
                  </w:r>
                </w:p>
                <w:p w14:paraId="1BBD86F3">
                  <w:pPr>
                    <w:widowControl/>
                    <w:jc w:val="left"/>
                    <w:rPr>
                      <w:szCs w:val="21"/>
                    </w:rPr>
                  </w:pPr>
                  <w:r>
                    <w:rPr>
                      <w:szCs w:val="21"/>
                      <w:lang w:val="zh-CN"/>
                    </w:rPr>
                    <w:t>③输电</w:t>
                  </w:r>
                  <w:r>
                    <w:rPr>
                      <w:szCs w:val="21"/>
                    </w:rPr>
                    <w:t>线路检修时产生少量检修废弃物，均为一般固废，检修完毕后集中收集随检修人员带回至就近垃圾收集点处理。</w:t>
                  </w:r>
                </w:p>
                <w:p w14:paraId="705994E2">
                  <w:pPr>
                    <w:widowControl/>
                    <w:jc w:val="left"/>
                    <w:rPr>
                      <w:szCs w:val="21"/>
                    </w:rPr>
                  </w:pPr>
                  <w:r>
                    <w:rPr>
                      <w:szCs w:val="21"/>
                    </w:rPr>
                    <w:fldChar w:fldCharType="begin"/>
                  </w:r>
                  <w:r>
                    <w:rPr>
                      <w:szCs w:val="21"/>
                    </w:rPr>
                    <w:instrText xml:space="preserve"> </w:instrText>
                  </w:r>
                  <w:r>
                    <w:rPr>
                      <w:rFonts w:hint="eastAsia"/>
                      <w:szCs w:val="21"/>
                    </w:rPr>
                    <w:instrText xml:space="preserve">= 4 \* GB3</w:instrText>
                  </w:r>
                  <w:r>
                    <w:rPr>
                      <w:szCs w:val="21"/>
                    </w:rPr>
                    <w:instrText xml:space="preserve"> </w:instrText>
                  </w:r>
                  <w:r>
                    <w:rPr>
                      <w:szCs w:val="21"/>
                    </w:rPr>
                    <w:fldChar w:fldCharType="separate"/>
                  </w:r>
                  <w:r>
                    <w:rPr>
                      <w:rFonts w:hint="eastAsia"/>
                      <w:szCs w:val="21"/>
                    </w:rPr>
                    <w:t>④</w:t>
                  </w:r>
                  <w:r>
                    <w:rPr>
                      <w:szCs w:val="21"/>
                    </w:rPr>
                    <w:fldChar w:fldCharType="end"/>
                  </w:r>
                  <w:r>
                    <w:rPr>
                      <w:rFonts w:hint="eastAsia"/>
                      <w:szCs w:val="21"/>
                    </w:rPr>
                    <w:t>事故油池收集事故状态下事故油，委托有资质单位处理。</w:t>
                  </w:r>
                </w:p>
              </w:tc>
            </w:tr>
            <w:tr w14:paraId="14555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459" w:type="dxa"/>
                  <w:vMerge w:val="continue"/>
                  <w:tcBorders>
                    <w:left w:val="single" w:color="auto" w:sz="4" w:space="0"/>
                  </w:tcBorders>
                  <w:vAlign w:val="center"/>
                </w:tcPr>
                <w:p w14:paraId="07A00B1A">
                  <w:pPr>
                    <w:pStyle w:val="30"/>
                    <w:spacing w:before="51" w:line="228" w:lineRule="auto"/>
                    <w:jc w:val="center"/>
                    <w:rPr>
                      <w:rFonts w:ascii="Times New Roman" w:hAnsi="Times New Roman" w:cs="Times New Roman"/>
                      <w:sz w:val="21"/>
                      <w:szCs w:val="21"/>
                    </w:rPr>
                  </w:pPr>
                </w:p>
              </w:tc>
              <w:tc>
                <w:tcPr>
                  <w:tcW w:w="567" w:type="dxa"/>
                  <w:gridSpan w:val="2"/>
                  <w:vMerge w:val="restart"/>
                  <w:vAlign w:val="center"/>
                </w:tcPr>
                <w:p w14:paraId="337AEE3A">
                  <w:pPr>
                    <w:pStyle w:val="30"/>
                    <w:spacing w:before="51" w:line="228"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生态恢复</w:t>
                  </w:r>
                </w:p>
              </w:tc>
              <w:tc>
                <w:tcPr>
                  <w:tcW w:w="713" w:type="dxa"/>
                  <w:gridSpan w:val="2"/>
                  <w:tcBorders>
                    <w:top w:val="single" w:color="auto" w:sz="4" w:space="0"/>
                    <w:bottom w:val="single" w:color="auto" w:sz="4" w:space="0"/>
                  </w:tcBorders>
                  <w:vAlign w:val="center"/>
                </w:tcPr>
                <w:p w14:paraId="2AFA7353">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施工期</w:t>
                  </w:r>
                </w:p>
              </w:tc>
              <w:tc>
                <w:tcPr>
                  <w:tcW w:w="6971" w:type="dxa"/>
                  <w:tcBorders>
                    <w:bottom w:val="single" w:color="auto" w:sz="4" w:space="0"/>
                    <w:right w:val="single" w:color="auto" w:sz="4" w:space="0"/>
                  </w:tcBorders>
                  <w:vAlign w:val="center"/>
                </w:tcPr>
                <w:p w14:paraId="7B67ACEA">
                  <w:pPr>
                    <w:widowControl/>
                    <w:jc w:val="left"/>
                    <w:rPr>
                      <w:szCs w:val="21"/>
                    </w:rPr>
                  </w:pPr>
                  <w:r>
                    <w:rPr>
                      <w:szCs w:val="21"/>
                    </w:rPr>
                    <w:t>限制施工作业范围，不超出项目占地范围，减少施工开挖面积和临时性占地，施工结束后恢复临时占地原有地貌；占地范围内清理平整。</w:t>
                  </w:r>
                </w:p>
              </w:tc>
            </w:tr>
            <w:tr w14:paraId="110D0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left w:val="single" w:color="auto" w:sz="4" w:space="0"/>
                  </w:tcBorders>
                  <w:vAlign w:val="center"/>
                </w:tcPr>
                <w:p w14:paraId="2242FD32">
                  <w:pPr>
                    <w:pStyle w:val="30"/>
                    <w:spacing w:before="51" w:line="228" w:lineRule="auto"/>
                    <w:jc w:val="center"/>
                    <w:rPr>
                      <w:rFonts w:ascii="Times New Roman" w:hAnsi="Times New Roman" w:cs="Times New Roman"/>
                      <w:sz w:val="21"/>
                      <w:szCs w:val="21"/>
                    </w:rPr>
                  </w:pPr>
                </w:p>
              </w:tc>
              <w:tc>
                <w:tcPr>
                  <w:tcW w:w="567" w:type="dxa"/>
                  <w:gridSpan w:val="2"/>
                  <w:vMerge w:val="continue"/>
                  <w:tcBorders>
                    <w:bottom w:val="single" w:color="auto" w:sz="4" w:space="0"/>
                  </w:tcBorders>
                  <w:vAlign w:val="center"/>
                </w:tcPr>
                <w:p w14:paraId="4BC63C3C">
                  <w:pPr>
                    <w:pStyle w:val="30"/>
                    <w:spacing w:before="51" w:line="228" w:lineRule="auto"/>
                    <w:jc w:val="center"/>
                    <w:rPr>
                      <w:rFonts w:ascii="Times New Roman" w:hAnsi="Times New Roman" w:cs="Times New Roman"/>
                      <w:sz w:val="21"/>
                      <w:szCs w:val="21"/>
                    </w:rPr>
                  </w:pPr>
                </w:p>
              </w:tc>
              <w:tc>
                <w:tcPr>
                  <w:tcW w:w="713" w:type="dxa"/>
                  <w:gridSpan w:val="2"/>
                  <w:tcBorders>
                    <w:top w:val="single" w:color="auto" w:sz="4" w:space="0"/>
                    <w:bottom w:val="single" w:color="auto" w:sz="4" w:space="0"/>
                  </w:tcBorders>
                  <w:vAlign w:val="center"/>
                </w:tcPr>
                <w:p w14:paraId="54EE333A">
                  <w:pPr>
                    <w:pStyle w:val="30"/>
                    <w:spacing w:before="44" w:line="228" w:lineRule="auto"/>
                    <w:jc w:val="center"/>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运营期</w:t>
                  </w:r>
                </w:p>
              </w:tc>
              <w:tc>
                <w:tcPr>
                  <w:tcW w:w="6971" w:type="dxa"/>
                  <w:tcBorders>
                    <w:bottom w:val="single" w:color="auto" w:sz="4" w:space="0"/>
                    <w:right w:val="single" w:color="auto" w:sz="4" w:space="0"/>
                  </w:tcBorders>
                  <w:vAlign w:val="center"/>
                </w:tcPr>
                <w:p w14:paraId="0676F6FA">
                  <w:pPr>
                    <w:pStyle w:val="30"/>
                    <w:spacing w:before="65" w:line="226" w:lineRule="auto"/>
                    <w:jc w:val="left"/>
                    <w:rPr>
                      <w:rFonts w:ascii="Times New Roman" w:hAnsi="Times New Roman" w:cs="Times New Roman"/>
                      <w:sz w:val="21"/>
                      <w:szCs w:val="21"/>
                      <w:lang w:eastAsia="zh-CN"/>
                    </w:rPr>
                  </w:pPr>
                  <w:r>
                    <w:rPr>
                      <w:rFonts w:ascii="Times New Roman" w:hAnsi="Times New Roman" w:cs="Times New Roman"/>
                      <w:sz w:val="21"/>
                      <w:szCs w:val="21"/>
                      <w:lang w:eastAsia="zh-CN"/>
                    </w:rPr>
                    <w:t>完善施工期未实施到位的生态保护措施及水土保持的工程措施。确保项目建设区内新增植被覆盖率和成活率，防火、禁猎，保护光伏电场周边植被，保护动物的生存环境。</w:t>
                  </w:r>
                </w:p>
              </w:tc>
            </w:tr>
          </w:tbl>
          <w:p w14:paraId="5218FB84">
            <w:pPr>
              <w:keepNext w:val="0"/>
              <w:keepLines w:val="0"/>
              <w:suppressLineNumbers w:val="0"/>
              <w:spacing w:before="0" w:beforeAutospacing="0" w:after="0" w:afterAutospacing="0" w:line="360" w:lineRule="auto"/>
              <w:ind w:left="0" w:right="0"/>
              <w:rPr>
                <w:rFonts w:hint="eastAsia"/>
                <w:bCs/>
                <w:color w:val="000000" w:themeColor="text1"/>
                <w:sz w:val="24"/>
              </w:rPr>
            </w:pPr>
            <w:r>
              <w:rPr>
                <w:rFonts w:hint="eastAsia"/>
                <w:b/>
                <w:bCs/>
                <w:sz w:val="24"/>
              </w:rPr>
              <w:t xml:space="preserve">   </w:t>
            </w:r>
            <w:r>
              <w:rPr>
                <w:rFonts w:hint="eastAsia"/>
                <w:b/>
                <w:bCs/>
                <w:color w:val="000000" w:themeColor="text1"/>
                <w:sz w:val="24"/>
              </w:rPr>
              <w:t xml:space="preserve"> </w:t>
            </w:r>
            <w:r>
              <w:rPr>
                <w:rFonts w:hint="eastAsia"/>
                <w:bCs/>
                <w:color w:val="000000" w:themeColor="text1"/>
                <w:sz w:val="24"/>
              </w:rPr>
              <w:t>库米什220kV变电站位于托克逊县库米什镇东约3.5km处，于2011年10月20日</w:t>
            </w:r>
            <w:r>
              <w:rPr>
                <w:rFonts w:hint="eastAsia"/>
                <w:bCs/>
                <w:color w:val="000000" w:themeColor="text1"/>
                <w:sz w:val="24"/>
                <w:lang w:eastAsia="zh-CN"/>
              </w:rPr>
              <w:t>正</w:t>
            </w:r>
            <w:r>
              <w:rPr>
                <w:rFonts w:hint="eastAsia"/>
                <w:bCs/>
                <w:color w:val="000000" w:themeColor="text1"/>
                <w:sz w:val="24"/>
              </w:rPr>
              <w:t>式建设，2012年8月1日 1号主变送电成功，是</w:t>
            </w:r>
            <w:r>
              <w:rPr>
                <w:rFonts w:hint="eastAsia"/>
                <w:bCs/>
                <w:color w:val="000000" w:themeColor="text1"/>
                <w:sz w:val="24"/>
                <w:lang w:eastAsia="zh-CN"/>
              </w:rPr>
              <w:t>吐</w:t>
            </w:r>
            <w:bookmarkStart w:id="35" w:name="_GoBack"/>
            <w:bookmarkEnd w:id="35"/>
            <w:r>
              <w:rPr>
                <w:rFonts w:hint="eastAsia"/>
                <w:bCs/>
                <w:color w:val="000000" w:themeColor="text1"/>
                <w:sz w:val="24"/>
              </w:rPr>
              <w:t>鲁番电网首座220kV智能变电站。本期规划在库米什220kV变电站东侧新增2310m</w:t>
            </w:r>
            <w:r>
              <w:rPr>
                <w:rFonts w:hint="eastAsia"/>
                <w:bCs/>
                <w:color w:val="000000" w:themeColor="text1"/>
                <w:sz w:val="24"/>
                <w:vertAlign w:val="superscript"/>
              </w:rPr>
              <w:t>2</w:t>
            </w:r>
            <w:r>
              <w:rPr>
                <w:rFonts w:hint="eastAsia"/>
                <w:bCs/>
                <w:color w:val="000000" w:themeColor="text1"/>
                <w:sz w:val="24"/>
              </w:rPr>
              <w:t>永久占地扩建2回220kV出线间隔，本期建成1回220kV出线</w:t>
            </w:r>
            <w:r>
              <w:rPr>
                <w:rFonts w:hint="eastAsia"/>
                <w:bCs/>
                <w:color w:val="000000" w:themeColor="text1"/>
                <w:sz w:val="24"/>
                <w:highlight w:val="none"/>
              </w:rPr>
              <w:t>间隔，预留1回220kV出线间隔。</w:t>
            </w:r>
          </w:p>
          <w:p w14:paraId="0D513FB3">
            <w:pPr>
              <w:keepNext w:val="0"/>
              <w:keepLines w:val="0"/>
              <w:suppressLineNumbers w:val="0"/>
              <w:spacing w:before="0" w:beforeAutospacing="0" w:after="0" w:afterAutospacing="0" w:line="360" w:lineRule="auto"/>
              <w:ind w:left="0" w:right="0"/>
              <w:rPr>
                <w:b/>
                <w:bCs/>
                <w:sz w:val="24"/>
              </w:rPr>
            </w:pPr>
            <w:r>
              <w:rPr>
                <w:rFonts w:hint="eastAsia"/>
                <w:b/>
                <w:bCs/>
                <w:sz w:val="24"/>
              </w:rPr>
              <w:t>2、主要设备及主要材料</w:t>
            </w:r>
          </w:p>
          <w:p w14:paraId="084D5B95">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本项目220kV升压站主要设备见下表。</w:t>
            </w:r>
          </w:p>
          <w:p w14:paraId="229203D7">
            <w:pPr>
              <w:keepNext w:val="0"/>
              <w:keepLines w:val="0"/>
              <w:suppressLineNumbers w:val="0"/>
              <w:spacing w:before="0" w:beforeAutospacing="0" w:after="0" w:afterAutospacing="0"/>
              <w:ind w:left="0" w:right="0"/>
              <w:jc w:val="center"/>
              <w:rPr>
                <w:rFonts w:hAnsi="宋体"/>
                <w:b/>
                <w:bCs/>
                <w:sz w:val="21"/>
                <w:szCs w:val="21"/>
              </w:rPr>
            </w:pPr>
            <w:r>
              <w:rPr>
                <w:rFonts w:hint="eastAsia"/>
                <w:b/>
                <w:bCs/>
                <w:sz w:val="21"/>
                <w:szCs w:val="21"/>
              </w:rPr>
              <w:t>表2-2  升压站</w:t>
            </w:r>
            <w:r>
              <w:rPr>
                <w:rFonts w:hint="eastAsia" w:hAnsi="宋体"/>
                <w:b/>
                <w:bCs/>
                <w:sz w:val="21"/>
                <w:szCs w:val="21"/>
              </w:rPr>
              <w:t>主要设备一览表</w:t>
            </w:r>
          </w:p>
          <w:tbl>
            <w:tblPr>
              <w:tblStyle w:val="22"/>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402"/>
              <w:gridCol w:w="1134"/>
              <w:gridCol w:w="1134"/>
              <w:gridCol w:w="2123"/>
            </w:tblGrid>
            <w:tr w14:paraId="7665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82" w:type="dxa"/>
                  <w:gridSpan w:val="2"/>
                </w:tcPr>
                <w:p w14:paraId="4B984DC7">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名称</w:t>
                  </w:r>
                </w:p>
              </w:tc>
              <w:tc>
                <w:tcPr>
                  <w:tcW w:w="1134" w:type="dxa"/>
                </w:tcPr>
                <w:p w14:paraId="36A71273">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单位</w:t>
                  </w:r>
                </w:p>
              </w:tc>
              <w:tc>
                <w:tcPr>
                  <w:tcW w:w="1134" w:type="dxa"/>
                </w:tcPr>
                <w:p w14:paraId="304AFB44">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数量</w:t>
                  </w:r>
                </w:p>
              </w:tc>
              <w:tc>
                <w:tcPr>
                  <w:tcW w:w="2123" w:type="dxa"/>
                </w:tcPr>
                <w:p w14:paraId="378BDBFD">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备注</w:t>
                  </w:r>
                </w:p>
              </w:tc>
            </w:tr>
            <w:tr w14:paraId="41E5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26A92AC3">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升压站</w:t>
                  </w:r>
                </w:p>
              </w:tc>
              <w:tc>
                <w:tcPr>
                  <w:tcW w:w="3402" w:type="dxa"/>
                  <w:vAlign w:val="center"/>
                </w:tcPr>
                <w:p w14:paraId="02F534F9">
                  <w:pPr>
                    <w:keepNext w:val="0"/>
                    <w:keepLines w:val="0"/>
                    <w:suppressLineNumbers w:val="0"/>
                    <w:spacing w:before="0" w:beforeAutospacing="0" w:after="0" w:afterAutospacing="0"/>
                    <w:ind w:left="0" w:right="0"/>
                    <w:jc w:val="center"/>
                    <w:rPr>
                      <w:rFonts w:ascii="宋体" w:hAnsi="宋体" w:cs="宋体"/>
                      <w:szCs w:val="21"/>
                    </w:rPr>
                  </w:pPr>
                  <w:r>
                    <w:rPr>
                      <w:szCs w:val="21"/>
                    </w:rPr>
                    <w:t>240MVA</w:t>
                  </w:r>
                  <w:r>
                    <w:rPr>
                      <w:rFonts w:hint="eastAsia" w:ascii="宋体" w:hAnsi="宋体" w:cs="宋体"/>
                      <w:szCs w:val="21"/>
                    </w:rPr>
                    <w:t>主变压器</w:t>
                  </w:r>
                </w:p>
              </w:tc>
              <w:tc>
                <w:tcPr>
                  <w:tcW w:w="1134" w:type="dxa"/>
                  <w:vAlign w:val="center"/>
                </w:tcPr>
                <w:p w14:paraId="5A354FBC">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台</w:t>
                  </w:r>
                </w:p>
              </w:tc>
              <w:tc>
                <w:tcPr>
                  <w:tcW w:w="1134" w:type="dxa"/>
                  <w:vAlign w:val="center"/>
                </w:tcPr>
                <w:p w14:paraId="3223F495">
                  <w:pPr>
                    <w:keepNext w:val="0"/>
                    <w:keepLines w:val="0"/>
                    <w:suppressLineNumbers w:val="0"/>
                    <w:spacing w:before="0" w:beforeAutospacing="0" w:after="0" w:afterAutospacing="0"/>
                    <w:ind w:left="0" w:right="0"/>
                    <w:jc w:val="center"/>
                    <w:rPr>
                      <w:szCs w:val="21"/>
                    </w:rPr>
                  </w:pPr>
                  <w:r>
                    <w:rPr>
                      <w:rFonts w:hint="eastAsia"/>
                      <w:szCs w:val="21"/>
                    </w:rPr>
                    <w:t>1</w:t>
                  </w:r>
                </w:p>
              </w:tc>
              <w:tc>
                <w:tcPr>
                  <w:tcW w:w="2123" w:type="dxa"/>
                  <w:vAlign w:val="center"/>
                </w:tcPr>
                <w:p w14:paraId="61D6FC5D">
                  <w:pPr>
                    <w:keepNext w:val="0"/>
                    <w:keepLines w:val="0"/>
                    <w:suppressLineNumbers w:val="0"/>
                    <w:spacing w:before="0" w:beforeAutospacing="0" w:after="0" w:afterAutospacing="0"/>
                    <w:ind w:left="0" w:right="0"/>
                    <w:jc w:val="center"/>
                    <w:rPr>
                      <w:szCs w:val="21"/>
                    </w:rPr>
                  </w:pPr>
                </w:p>
              </w:tc>
            </w:tr>
            <w:tr w14:paraId="5AE8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39B90A28">
                  <w:pPr>
                    <w:keepNext w:val="0"/>
                    <w:keepLines w:val="0"/>
                    <w:suppressLineNumbers w:val="0"/>
                    <w:spacing w:before="0" w:beforeAutospacing="0" w:after="0" w:afterAutospacing="0"/>
                    <w:ind w:left="0" w:right="0"/>
                    <w:jc w:val="center"/>
                    <w:rPr>
                      <w:rFonts w:ascii="宋体" w:hAnsi="宋体" w:cs="宋体"/>
                      <w:szCs w:val="21"/>
                    </w:rPr>
                  </w:pPr>
                </w:p>
              </w:tc>
              <w:tc>
                <w:tcPr>
                  <w:tcW w:w="3402" w:type="dxa"/>
                  <w:vAlign w:val="center"/>
                </w:tcPr>
                <w:p w14:paraId="5EB0D4BA">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出线</w:t>
                  </w:r>
                </w:p>
              </w:tc>
              <w:tc>
                <w:tcPr>
                  <w:tcW w:w="1134" w:type="dxa"/>
                  <w:vAlign w:val="center"/>
                </w:tcPr>
                <w:p w14:paraId="542835AA">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回</w:t>
                  </w:r>
                </w:p>
              </w:tc>
              <w:tc>
                <w:tcPr>
                  <w:tcW w:w="1134" w:type="dxa"/>
                  <w:vAlign w:val="center"/>
                </w:tcPr>
                <w:p w14:paraId="4A6C9207">
                  <w:pPr>
                    <w:keepNext w:val="0"/>
                    <w:keepLines w:val="0"/>
                    <w:suppressLineNumbers w:val="0"/>
                    <w:spacing w:before="0" w:beforeAutospacing="0" w:after="0" w:afterAutospacing="0"/>
                    <w:ind w:left="0" w:right="0"/>
                    <w:jc w:val="center"/>
                    <w:rPr>
                      <w:szCs w:val="21"/>
                    </w:rPr>
                  </w:pPr>
                  <w:r>
                    <w:rPr>
                      <w:rFonts w:hint="eastAsia"/>
                      <w:szCs w:val="21"/>
                    </w:rPr>
                    <w:t>1</w:t>
                  </w:r>
                </w:p>
              </w:tc>
              <w:tc>
                <w:tcPr>
                  <w:tcW w:w="2123" w:type="dxa"/>
                  <w:vAlign w:val="center"/>
                </w:tcPr>
                <w:p w14:paraId="31ED08E0">
                  <w:pPr>
                    <w:keepNext w:val="0"/>
                    <w:keepLines w:val="0"/>
                    <w:suppressLineNumbers w:val="0"/>
                    <w:spacing w:before="0" w:beforeAutospacing="0" w:after="0" w:afterAutospacing="0"/>
                    <w:ind w:left="0" w:right="0"/>
                    <w:jc w:val="center"/>
                    <w:rPr>
                      <w:szCs w:val="21"/>
                    </w:rPr>
                  </w:pPr>
                </w:p>
              </w:tc>
            </w:tr>
            <w:tr w14:paraId="7193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64A3A4D7">
                  <w:pPr>
                    <w:keepNext w:val="0"/>
                    <w:keepLines w:val="0"/>
                    <w:suppressLineNumbers w:val="0"/>
                    <w:spacing w:before="0" w:beforeAutospacing="0" w:after="0" w:afterAutospacing="0"/>
                    <w:ind w:left="0" w:right="0"/>
                    <w:jc w:val="center"/>
                    <w:rPr>
                      <w:rFonts w:ascii="宋体" w:hAnsi="宋体" w:cs="宋体"/>
                      <w:szCs w:val="21"/>
                    </w:rPr>
                  </w:pPr>
                </w:p>
              </w:tc>
              <w:tc>
                <w:tcPr>
                  <w:tcW w:w="3402" w:type="dxa"/>
                  <w:vAlign w:val="center"/>
                </w:tcPr>
                <w:p w14:paraId="5204EDEA">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110kV</w:t>
                  </w:r>
                  <w:r>
                    <w:rPr>
                      <w:rFonts w:hint="eastAsia" w:ascii="宋体" w:hAnsi="宋体" w:cs="宋体"/>
                      <w:szCs w:val="21"/>
                    </w:rPr>
                    <w:t>出线</w:t>
                  </w:r>
                </w:p>
              </w:tc>
              <w:tc>
                <w:tcPr>
                  <w:tcW w:w="1134" w:type="dxa"/>
                  <w:shd w:val="clear" w:color="auto" w:fill="auto"/>
                  <w:vAlign w:val="center"/>
                </w:tcPr>
                <w:p w14:paraId="52FBCCD4">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回</w:t>
                  </w:r>
                </w:p>
              </w:tc>
              <w:tc>
                <w:tcPr>
                  <w:tcW w:w="1134" w:type="dxa"/>
                  <w:shd w:val="clear" w:color="auto" w:fill="auto"/>
                  <w:vAlign w:val="center"/>
                </w:tcPr>
                <w:p w14:paraId="4C0C850D">
                  <w:pPr>
                    <w:keepNext w:val="0"/>
                    <w:keepLines w:val="0"/>
                    <w:suppressLineNumbers w:val="0"/>
                    <w:spacing w:before="0" w:beforeAutospacing="0" w:after="0" w:afterAutospacing="0"/>
                    <w:ind w:left="0" w:right="0"/>
                    <w:jc w:val="center"/>
                    <w:rPr>
                      <w:szCs w:val="21"/>
                    </w:rPr>
                  </w:pPr>
                  <w:r>
                    <w:rPr>
                      <w:rFonts w:hint="eastAsia"/>
                      <w:szCs w:val="21"/>
                    </w:rPr>
                    <w:t>1</w:t>
                  </w:r>
                </w:p>
              </w:tc>
              <w:tc>
                <w:tcPr>
                  <w:tcW w:w="2123" w:type="dxa"/>
                  <w:shd w:val="clear" w:color="auto" w:fill="auto"/>
                  <w:vAlign w:val="center"/>
                </w:tcPr>
                <w:p w14:paraId="20E8B06F">
                  <w:pPr>
                    <w:keepNext w:val="0"/>
                    <w:keepLines w:val="0"/>
                    <w:suppressLineNumbers w:val="0"/>
                    <w:spacing w:before="0" w:beforeAutospacing="0" w:after="0" w:afterAutospacing="0"/>
                    <w:ind w:left="0" w:right="0"/>
                    <w:jc w:val="center"/>
                    <w:rPr>
                      <w:szCs w:val="21"/>
                    </w:rPr>
                  </w:pPr>
                </w:p>
              </w:tc>
            </w:tr>
            <w:tr w14:paraId="42AD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80" w:type="dxa"/>
                  <w:vMerge w:val="continue"/>
                  <w:vAlign w:val="center"/>
                </w:tcPr>
                <w:p w14:paraId="396EEF11">
                  <w:pPr>
                    <w:keepNext w:val="0"/>
                    <w:keepLines w:val="0"/>
                    <w:suppressLineNumbers w:val="0"/>
                    <w:spacing w:before="0" w:beforeAutospacing="0" w:after="0" w:afterAutospacing="0"/>
                    <w:ind w:left="0" w:right="0"/>
                    <w:jc w:val="center"/>
                    <w:rPr>
                      <w:rFonts w:ascii="宋体" w:hAnsi="宋体" w:cs="宋体"/>
                      <w:szCs w:val="21"/>
                    </w:rPr>
                  </w:pPr>
                </w:p>
              </w:tc>
              <w:tc>
                <w:tcPr>
                  <w:tcW w:w="3402" w:type="dxa"/>
                  <w:vAlign w:val="center"/>
                </w:tcPr>
                <w:p w14:paraId="3C9C00A9">
                  <w:pPr>
                    <w:keepNext w:val="0"/>
                    <w:keepLines w:val="0"/>
                    <w:suppressLineNumbers w:val="0"/>
                    <w:spacing w:before="0" w:beforeAutospacing="0" w:after="0" w:afterAutospacing="0"/>
                    <w:ind w:left="0" w:right="0"/>
                    <w:jc w:val="center"/>
                    <w:rPr>
                      <w:szCs w:val="21"/>
                    </w:rPr>
                  </w:pPr>
                  <w:r>
                    <w:rPr>
                      <w:rFonts w:hint="eastAsia"/>
                      <w:szCs w:val="21"/>
                    </w:rPr>
                    <w:t>35kV出线</w:t>
                  </w:r>
                </w:p>
              </w:tc>
              <w:tc>
                <w:tcPr>
                  <w:tcW w:w="1134" w:type="dxa"/>
                  <w:shd w:val="clear" w:color="auto" w:fill="auto"/>
                  <w:vAlign w:val="center"/>
                </w:tcPr>
                <w:p w14:paraId="78722BC4">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回</w:t>
                  </w:r>
                </w:p>
              </w:tc>
              <w:tc>
                <w:tcPr>
                  <w:tcW w:w="1134" w:type="dxa"/>
                  <w:shd w:val="clear" w:color="auto" w:fill="auto"/>
                  <w:vAlign w:val="center"/>
                </w:tcPr>
                <w:p w14:paraId="277B558A">
                  <w:pPr>
                    <w:keepNext w:val="0"/>
                    <w:keepLines w:val="0"/>
                    <w:suppressLineNumbers w:val="0"/>
                    <w:spacing w:before="0" w:beforeAutospacing="0" w:after="0" w:afterAutospacing="0"/>
                    <w:ind w:left="0" w:right="0"/>
                    <w:jc w:val="center"/>
                    <w:rPr>
                      <w:szCs w:val="21"/>
                    </w:rPr>
                  </w:pPr>
                  <w:r>
                    <w:rPr>
                      <w:rFonts w:hint="eastAsia"/>
                      <w:szCs w:val="21"/>
                    </w:rPr>
                    <w:t>10</w:t>
                  </w:r>
                </w:p>
              </w:tc>
              <w:tc>
                <w:tcPr>
                  <w:tcW w:w="2123" w:type="dxa"/>
                  <w:shd w:val="clear" w:color="auto" w:fill="auto"/>
                  <w:vAlign w:val="center"/>
                </w:tcPr>
                <w:p w14:paraId="239CED0B">
                  <w:pPr>
                    <w:keepNext w:val="0"/>
                    <w:keepLines w:val="0"/>
                    <w:suppressLineNumbers w:val="0"/>
                    <w:spacing w:before="0" w:beforeAutospacing="0" w:after="0" w:afterAutospacing="0"/>
                    <w:ind w:left="0" w:right="0"/>
                    <w:jc w:val="center"/>
                    <w:rPr>
                      <w:szCs w:val="21"/>
                    </w:rPr>
                  </w:pPr>
                </w:p>
              </w:tc>
            </w:tr>
            <w:tr w14:paraId="646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16D5FB79">
                  <w:pPr>
                    <w:keepNext w:val="0"/>
                    <w:keepLines w:val="0"/>
                    <w:suppressLineNumbers w:val="0"/>
                    <w:spacing w:before="0" w:beforeAutospacing="0" w:after="0" w:afterAutospacing="0"/>
                    <w:ind w:left="0" w:right="0"/>
                    <w:jc w:val="center"/>
                    <w:rPr>
                      <w:rFonts w:ascii="宋体" w:hAnsi="宋体" w:cs="宋体"/>
                      <w:szCs w:val="21"/>
                    </w:rPr>
                  </w:pPr>
                </w:p>
              </w:tc>
              <w:tc>
                <w:tcPr>
                  <w:tcW w:w="3402" w:type="dxa"/>
                  <w:vAlign w:val="center"/>
                </w:tcPr>
                <w:p w14:paraId="1CC6AD82">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35kV</w:t>
                  </w:r>
                  <w:r>
                    <w:rPr>
                      <w:rFonts w:hint="eastAsia" w:ascii="宋体" w:hAnsi="宋体" w:cs="宋体"/>
                      <w:szCs w:val="21"/>
                    </w:rPr>
                    <w:t>无功补偿</w:t>
                  </w:r>
                </w:p>
              </w:tc>
              <w:tc>
                <w:tcPr>
                  <w:tcW w:w="1134" w:type="dxa"/>
                  <w:vAlign w:val="center"/>
                </w:tcPr>
                <w:p w14:paraId="22C9CFFB">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组</w:t>
                  </w:r>
                </w:p>
              </w:tc>
              <w:tc>
                <w:tcPr>
                  <w:tcW w:w="1134" w:type="dxa"/>
                  <w:vAlign w:val="center"/>
                </w:tcPr>
                <w:p w14:paraId="47AB61DE">
                  <w:pPr>
                    <w:keepNext w:val="0"/>
                    <w:keepLines w:val="0"/>
                    <w:suppressLineNumbers w:val="0"/>
                    <w:spacing w:before="0" w:beforeAutospacing="0" w:after="0" w:afterAutospacing="0"/>
                    <w:ind w:left="0" w:right="0"/>
                    <w:jc w:val="center"/>
                    <w:rPr>
                      <w:szCs w:val="21"/>
                    </w:rPr>
                  </w:pPr>
                  <w:r>
                    <w:rPr>
                      <w:rFonts w:hint="eastAsia"/>
                      <w:szCs w:val="21"/>
                    </w:rPr>
                    <w:t>2</w:t>
                  </w:r>
                </w:p>
              </w:tc>
              <w:tc>
                <w:tcPr>
                  <w:tcW w:w="2123" w:type="dxa"/>
                  <w:vAlign w:val="center"/>
                </w:tcPr>
                <w:p w14:paraId="251C48CC">
                  <w:pPr>
                    <w:keepNext w:val="0"/>
                    <w:keepLines w:val="0"/>
                    <w:suppressLineNumbers w:val="0"/>
                    <w:spacing w:before="0" w:beforeAutospacing="0" w:after="0" w:afterAutospacing="0"/>
                    <w:ind w:left="0" w:right="0"/>
                    <w:jc w:val="center"/>
                    <w:rPr>
                      <w:szCs w:val="21"/>
                    </w:rPr>
                  </w:pPr>
                </w:p>
              </w:tc>
            </w:tr>
            <w:tr w14:paraId="1B9D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2908299C">
                  <w:pPr>
                    <w:keepNext w:val="0"/>
                    <w:keepLines w:val="0"/>
                    <w:suppressLineNumbers w:val="0"/>
                    <w:spacing w:before="0" w:beforeAutospacing="0" w:after="0" w:afterAutospacing="0"/>
                    <w:ind w:left="0" w:right="0"/>
                    <w:jc w:val="center"/>
                    <w:rPr>
                      <w:rFonts w:ascii="宋体" w:hAnsi="宋体" w:cs="宋体"/>
                      <w:color w:val="000000" w:themeColor="text1"/>
                      <w:szCs w:val="21"/>
                    </w:rPr>
                  </w:pPr>
                  <w:r>
                    <w:rPr>
                      <w:color w:val="000000" w:themeColor="text1"/>
                      <w:szCs w:val="21"/>
                    </w:rPr>
                    <w:t>20MW/40MW</w:t>
                  </w:r>
                  <w:r>
                    <w:rPr>
                      <w:rFonts w:hint="eastAsia" w:ascii="宋体" w:hAnsi="宋体" w:cs="宋体"/>
                      <w:color w:val="000000" w:themeColor="text1"/>
                      <w:szCs w:val="21"/>
                    </w:rPr>
                    <w:t>储能</w:t>
                  </w:r>
                </w:p>
              </w:tc>
              <w:tc>
                <w:tcPr>
                  <w:tcW w:w="3402" w:type="dxa"/>
                  <w:vAlign w:val="center"/>
                </w:tcPr>
                <w:p w14:paraId="3BFD3628">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电池（箱式储能系统）5000kWh</w:t>
                  </w:r>
                </w:p>
              </w:tc>
              <w:tc>
                <w:tcPr>
                  <w:tcW w:w="1134" w:type="dxa"/>
                  <w:vAlign w:val="center"/>
                </w:tcPr>
                <w:p w14:paraId="261AAA95">
                  <w:pPr>
                    <w:keepNext w:val="0"/>
                    <w:keepLines w:val="0"/>
                    <w:suppressLineNumbers w:val="0"/>
                    <w:spacing w:before="0" w:beforeAutospacing="0" w:after="0" w:afterAutospacing="0"/>
                    <w:ind w:left="0" w:right="0"/>
                    <w:jc w:val="center"/>
                    <w:rPr>
                      <w:rFonts w:ascii="宋体" w:hAnsi="宋体" w:cs="宋体"/>
                      <w:color w:val="000000" w:themeColor="text1"/>
                      <w:szCs w:val="21"/>
                    </w:rPr>
                  </w:pPr>
                  <w:r>
                    <w:rPr>
                      <w:rFonts w:hint="eastAsia" w:ascii="宋体" w:hAnsi="宋体" w:cs="宋体"/>
                      <w:color w:val="000000" w:themeColor="text1"/>
                      <w:szCs w:val="21"/>
                    </w:rPr>
                    <w:t>台</w:t>
                  </w:r>
                </w:p>
              </w:tc>
              <w:tc>
                <w:tcPr>
                  <w:tcW w:w="1134" w:type="dxa"/>
                  <w:vAlign w:val="center"/>
                </w:tcPr>
                <w:p w14:paraId="06854282">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8</w:t>
                  </w:r>
                </w:p>
              </w:tc>
              <w:tc>
                <w:tcPr>
                  <w:tcW w:w="2123" w:type="dxa"/>
                  <w:vAlign w:val="center"/>
                </w:tcPr>
                <w:p w14:paraId="42B66FFA">
                  <w:pPr>
                    <w:keepNext w:val="0"/>
                    <w:keepLines w:val="0"/>
                    <w:suppressLineNumbers w:val="0"/>
                    <w:spacing w:before="0" w:beforeAutospacing="0" w:after="0" w:afterAutospacing="0"/>
                    <w:ind w:left="0" w:right="0"/>
                    <w:jc w:val="center"/>
                    <w:rPr>
                      <w:color w:val="000000" w:themeColor="text1"/>
                      <w:szCs w:val="21"/>
                    </w:rPr>
                  </w:pPr>
                </w:p>
              </w:tc>
            </w:tr>
            <w:tr w14:paraId="7287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5FC39DC7">
                  <w:pPr>
                    <w:keepNext w:val="0"/>
                    <w:keepLines w:val="0"/>
                    <w:suppressLineNumbers w:val="0"/>
                    <w:spacing w:before="0" w:beforeAutospacing="0" w:after="0" w:afterAutospacing="0"/>
                    <w:ind w:left="0" w:right="0"/>
                    <w:jc w:val="center"/>
                    <w:rPr>
                      <w:rFonts w:ascii="宋体" w:hAnsi="宋体" w:cs="宋体"/>
                      <w:color w:val="000000" w:themeColor="text1"/>
                      <w:szCs w:val="21"/>
                    </w:rPr>
                  </w:pPr>
                </w:p>
              </w:tc>
              <w:tc>
                <w:tcPr>
                  <w:tcW w:w="3402" w:type="dxa"/>
                  <w:vAlign w:val="center"/>
                </w:tcPr>
                <w:p w14:paraId="7ADE5D9D">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5MW储能变流器及升压箱变</w:t>
                  </w:r>
                </w:p>
              </w:tc>
              <w:tc>
                <w:tcPr>
                  <w:tcW w:w="1134" w:type="dxa"/>
                  <w:vAlign w:val="center"/>
                </w:tcPr>
                <w:p w14:paraId="45CB71F5">
                  <w:pPr>
                    <w:keepNext w:val="0"/>
                    <w:keepLines w:val="0"/>
                    <w:suppressLineNumbers w:val="0"/>
                    <w:spacing w:before="0" w:beforeAutospacing="0" w:after="0" w:afterAutospacing="0"/>
                    <w:ind w:left="0" w:right="0"/>
                    <w:jc w:val="center"/>
                    <w:rPr>
                      <w:rFonts w:ascii="宋体" w:hAnsi="宋体" w:cs="宋体"/>
                      <w:color w:val="000000" w:themeColor="text1"/>
                      <w:szCs w:val="21"/>
                    </w:rPr>
                  </w:pPr>
                  <w:r>
                    <w:rPr>
                      <w:rFonts w:hint="eastAsia" w:ascii="宋体" w:hAnsi="宋体" w:cs="宋体"/>
                      <w:color w:val="000000" w:themeColor="text1"/>
                      <w:szCs w:val="21"/>
                    </w:rPr>
                    <w:t>台</w:t>
                  </w:r>
                </w:p>
              </w:tc>
              <w:tc>
                <w:tcPr>
                  <w:tcW w:w="1134" w:type="dxa"/>
                  <w:vAlign w:val="center"/>
                </w:tcPr>
                <w:p w14:paraId="3FC6AE74">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4</w:t>
                  </w:r>
                </w:p>
              </w:tc>
              <w:tc>
                <w:tcPr>
                  <w:tcW w:w="2123" w:type="dxa"/>
                  <w:vAlign w:val="center"/>
                </w:tcPr>
                <w:p w14:paraId="137D5357">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含箱变监控，UPS等</w:t>
                  </w:r>
                </w:p>
              </w:tc>
            </w:tr>
            <w:tr w14:paraId="6354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50180ECA">
                  <w:pPr>
                    <w:keepNext w:val="0"/>
                    <w:keepLines w:val="0"/>
                    <w:suppressLineNumbers w:val="0"/>
                    <w:spacing w:before="0" w:beforeAutospacing="0" w:after="0" w:afterAutospacing="0"/>
                    <w:ind w:left="0" w:right="0"/>
                    <w:jc w:val="center"/>
                    <w:rPr>
                      <w:rFonts w:ascii="宋体" w:hAnsi="宋体" w:cs="宋体"/>
                      <w:color w:val="000000" w:themeColor="text1"/>
                      <w:szCs w:val="21"/>
                    </w:rPr>
                  </w:pPr>
                </w:p>
              </w:tc>
              <w:tc>
                <w:tcPr>
                  <w:tcW w:w="3402" w:type="dxa"/>
                  <w:vAlign w:val="center"/>
                </w:tcPr>
                <w:p w14:paraId="50C8E029">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储能监控系统</w:t>
                  </w:r>
                </w:p>
              </w:tc>
              <w:tc>
                <w:tcPr>
                  <w:tcW w:w="1134" w:type="dxa"/>
                  <w:vAlign w:val="center"/>
                </w:tcPr>
                <w:p w14:paraId="2E2EEE06">
                  <w:pPr>
                    <w:keepNext w:val="0"/>
                    <w:keepLines w:val="0"/>
                    <w:suppressLineNumbers w:val="0"/>
                    <w:spacing w:before="0" w:beforeAutospacing="0" w:after="0" w:afterAutospacing="0"/>
                    <w:ind w:left="0" w:right="0"/>
                    <w:jc w:val="center"/>
                    <w:rPr>
                      <w:rFonts w:ascii="宋体" w:hAnsi="宋体" w:cs="宋体"/>
                      <w:color w:val="000000" w:themeColor="text1"/>
                      <w:szCs w:val="21"/>
                    </w:rPr>
                  </w:pPr>
                  <w:r>
                    <w:rPr>
                      <w:rFonts w:hint="eastAsia" w:ascii="宋体" w:hAnsi="宋体" w:cs="宋体"/>
                      <w:color w:val="000000" w:themeColor="text1"/>
                      <w:szCs w:val="21"/>
                    </w:rPr>
                    <w:t>套</w:t>
                  </w:r>
                </w:p>
              </w:tc>
              <w:tc>
                <w:tcPr>
                  <w:tcW w:w="1134" w:type="dxa"/>
                  <w:vAlign w:val="center"/>
                </w:tcPr>
                <w:p w14:paraId="3E63A72C">
                  <w:pPr>
                    <w:keepNext w:val="0"/>
                    <w:keepLines w:val="0"/>
                    <w:suppressLineNumbers w:val="0"/>
                    <w:spacing w:before="0" w:beforeAutospacing="0" w:after="0" w:afterAutospacing="0"/>
                    <w:ind w:left="0" w:right="0"/>
                    <w:jc w:val="center"/>
                    <w:rPr>
                      <w:color w:val="000000" w:themeColor="text1"/>
                      <w:szCs w:val="21"/>
                    </w:rPr>
                  </w:pPr>
                  <w:r>
                    <w:rPr>
                      <w:rFonts w:hint="eastAsia"/>
                      <w:color w:val="000000" w:themeColor="text1"/>
                      <w:szCs w:val="21"/>
                    </w:rPr>
                    <w:t>1</w:t>
                  </w:r>
                </w:p>
              </w:tc>
              <w:tc>
                <w:tcPr>
                  <w:tcW w:w="2123" w:type="dxa"/>
                  <w:vAlign w:val="center"/>
                </w:tcPr>
                <w:p w14:paraId="349CE1BE">
                  <w:pPr>
                    <w:keepNext w:val="0"/>
                    <w:keepLines w:val="0"/>
                    <w:suppressLineNumbers w:val="0"/>
                    <w:spacing w:before="0" w:beforeAutospacing="0" w:after="0" w:afterAutospacing="0"/>
                    <w:ind w:left="0" w:right="0"/>
                    <w:jc w:val="center"/>
                    <w:rPr>
                      <w:color w:val="000000" w:themeColor="text1"/>
                      <w:szCs w:val="21"/>
                    </w:rPr>
                  </w:pPr>
                </w:p>
              </w:tc>
            </w:tr>
          </w:tbl>
          <w:p w14:paraId="4945DAB5">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本项目220kV输电线路主要材料见下表。</w:t>
            </w:r>
          </w:p>
          <w:p w14:paraId="4E9F0C9F">
            <w:pPr>
              <w:keepNext w:val="0"/>
              <w:keepLines w:val="0"/>
              <w:suppressLineNumbers w:val="0"/>
              <w:spacing w:before="0" w:beforeAutospacing="0" w:after="0" w:afterAutospacing="0"/>
              <w:ind w:left="0" w:right="0"/>
              <w:jc w:val="center"/>
              <w:rPr>
                <w:rFonts w:hAnsi="宋体"/>
                <w:b/>
                <w:bCs/>
                <w:szCs w:val="21"/>
              </w:rPr>
            </w:pPr>
            <w:r>
              <w:rPr>
                <w:rFonts w:hint="eastAsia" w:hAnsi="宋体"/>
                <w:b/>
                <w:bCs/>
                <w:szCs w:val="21"/>
              </w:rPr>
              <w:t>表2-3  主要材料一览表</w:t>
            </w:r>
          </w:p>
          <w:tbl>
            <w:tblPr>
              <w:tblStyle w:val="22"/>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01"/>
              <w:gridCol w:w="3969"/>
              <w:gridCol w:w="992"/>
              <w:gridCol w:w="1131"/>
            </w:tblGrid>
            <w:tr w14:paraId="0ADC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0" w:type="dxa"/>
                </w:tcPr>
                <w:p w14:paraId="337A0F21">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序号</w:t>
                  </w:r>
                </w:p>
              </w:tc>
              <w:tc>
                <w:tcPr>
                  <w:tcW w:w="1701" w:type="dxa"/>
                </w:tcPr>
                <w:p w14:paraId="465E6AE0">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名称</w:t>
                  </w:r>
                </w:p>
              </w:tc>
              <w:tc>
                <w:tcPr>
                  <w:tcW w:w="3969" w:type="dxa"/>
                </w:tcPr>
                <w:p w14:paraId="32D0C2A5">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型号及规格</w:t>
                  </w:r>
                </w:p>
              </w:tc>
              <w:tc>
                <w:tcPr>
                  <w:tcW w:w="992" w:type="dxa"/>
                </w:tcPr>
                <w:p w14:paraId="28DFFCB0">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单位</w:t>
                  </w:r>
                </w:p>
              </w:tc>
              <w:tc>
                <w:tcPr>
                  <w:tcW w:w="1131" w:type="dxa"/>
                </w:tcPr>
                <w:p w14:paraId="44B89A60">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b/>
                      <w:bCs/>
                      <w:szCs w:val="21"/>
                    </w:rPr>
                    <w:t>数量</w:t>
                  </w:r>
                </w:p>
              </w:tc>
            </w:tr>
            <w:tr w14:paraId="2013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3" w:type="dxa"/>
                  <w:gridSpan w:val="5"/>
                  <w:vAlign w:val="center"/>
                </w:tcPr>
                <w:p w14:paraId="75308FCB">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铁塔</w:t>
                  </w:r>
                </w:p>
              </w:tc>
            </w:tr>
            <w:tr w14:paraId="04ED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0CB42F11">
                  <w:pPr>
                    <w:keepNext w:val="0"/>
                    <w:keepLines w:val="0"/>
                    <w:suppressLineNumbers w:val="0"/>
                    <w:spacing w:before="0" w:beforeAutospacing="0" w:after="0" w:afterAutospacing="0"/>
                    <w:ind w:left="0" w:right="0"/>
                    <w:jc w:val="center"/>
                    <w:rPr>
                      <w:szCs w:val="21"/>
                    </w:rPr>
                  </w:pPr>
                  <w:r>
                    <w:rPr>
                      <w:rFonts w:hint="eastAsia"/>
                      <w:szCs w:val="21"/>
                    </w:rPr>
                    <w:t>1</w:t>
                  </w:r>
                </w:p>
              </w:tc>
              <w:tc>
                <w:tcPr>
                  <w:tcW w:w="1701" w:type="dxa"/>
                  <w:vAlign w:val="center"/>
                </w:tcPr>
                <w:p w14:paraId="4F9D5E19">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单回直线塔</w:t>
                  </w:r>
                </w:p>
              </w:tc>
              <w:tc>
                <w:tcPr>
                  <w:tcW w:w="3969" w:type="dxa"/>
                  <w:vAlign w:val="center"/>
                </w:tcPr>
                <w:p w14:paraId="3AA5457A">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w:t>
                  </w:r>
                </w:p>
              </w:tc>
              <w:tc>
                <w:tcPr>
                  <w:tcW w:w="992" w:type="dxa"/>
                  <w:vAlign w:val="center"/>
                </w:tcPr>
                <w:p w14:paraId="7C7D1862">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基</w:t>
                  </w:r>
                </w:p>
              </w:tc>
              <w:tc>
                <w:tcPr>
                  <w:tcW w:w="1131" w:type="dxa"/>
                  <w:vAlign w:val="center"/>
                </w:tcPr>
                <w:p w14:paraId="532394A1">
                  <w:pPr>
                    <w:keepNext w:val="0"/>
                    <w:keepLines w:val="0"/>
                    <w:suppressLineNumbers w:val="0"/>
                    <w:spacing w:before="0" w:beforeAutospacing="0" w:after="0" w:afterAutospacing="0"/>
                    <w:ind w:left="0" w:right="0"/>
                    <w:jc w:val="center"/>
                    <w:rPr>
                      <w:szCs w:val="21"/>
                    </w:rPr>
                  </w:pPr>
                  <w:r>
                    <w:rPr>
                      <w:rFonts w:hint="eastAsia"/>
                      <w:szCs w:val="21"/>
                    </w:rPr>
                    <w:t>15</w:t>
                  </w:r>
                </w:p>
              </w:tc>
            </w:tr>
            <w:tr w14:paraId="3305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55A9E4B9">
                  <w:pPr>
                    <w:keepNext w:val="0"/>
                    <w:keepLines w:val="0"/>
                    <w:suppressLineNumbers w:val="0"/>
                    <w:spacing w:before="0" w:beforeAutospacing="0" w:after="0" w:afterAutospacing="0"/>
                    <w:ind w:left="0" w:right="0"/>
                    <w:jc w:val="center"/>
                    <w:rPr>
                      <w:szCs w:val="21"/>
                    </w:rPr>
                  </w:pPr>
                  <w:r>
                    <w:rPr>
                      <w:rFonts w:hint="eastAsia"/>
                      <w:szCs w:val="21"/>
                    </w:rPr>
                    <w:t>2</w:t>
                  </w:r>
                </w:p>
              </w:tc>
              <w:tc>
                <w:tcPr>
                  <w:tcW w:w="1701" w:type="dxa"/>
                  <w:vAlign w:val="center"/>
                </w:tcPr>
                <w:p w14:paraId="1E470E7D">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单回转角塔</w:t>
                  </w:r>
                </w:p>
              </w:tc>
              <w:tc>
                <w:tcPr>
                  <w:tcW w:w="3969" w:type="dxa"/>
                  <w:vAlign w:val="center"/>
                </w:tcPr>
                <w:p w14:paraId="46F05DF4">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w:t>
                  </w:r>
                </w:p>
              </w:tc>
              <w:tc>
                <w:tcPr>
                  <w:tcW w:w="992" w:type="dxa"/>
                  <w:vAlign w:val="center"/>
                </w:tcPr>
                <w:p w14:paraId="016700A3">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基</w:t>
                  </w:r>
                </w:p>
              </w:tc>
              <w:tc>
                <w:tcPr>
                  <w:tcW w:w="1131" w:type="dxa"/>
                  <w:vAlign w:val="center"/>
                </w:tcPr>
                <w:p w14:paraId="547D970F">
                  <w:pPr>
                    <w:keepNext w:val="0"/>
                    <w:keepLines w:val="0"/>
                    <w:suppressLineNumbers w:val="0"/>
                    <w:spacing w:before="0" w:beforeAutospacing="0" w:after="0" w:afterAutospacing="0"/>
                    <w:ind w:left="0" w:right="0"/>
                    <w:jc w:val="center"/>
                    <w:rPr>
                      <w:szCs w:val="21"/>
                    </w:rPr>
                  </w:pPr>
                  <w:r>
                    <w:rPr>
                      <w:rFonts w:hint="eastAsia"/>
                      <w:szCs w:val="21"/>
                    </w:rPr>
                    <w:t>8</w:t>
                  </w:r>
                </w:p>
              </w:tc>
            </w:tr>
            <w:tr w14:paraId="740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80" w:type="dxa"/>
                  <w:vAlign w:val="center"/>
                </w:tcPr>
                <w:p w14:paraId="75919EA1">
                  <w:pPr>
                    <w:keepNext w:val="0"/>
                    <w:keepLines w:val="0"/>
                    <w:suppressLineNumbers w:val="0"/>
                    <w:spacing w:before="0" w:beforeAutospacing="0" w:after="0" w:afterAutospacing="0"/>
                    <w:ind w:left="0" w:right="0"/>
                    <w:jc w:val="center"/>
                    <w:rPr>
                      <w:szCs w:val="21"/>
                    </w:rPr>
                  </w:pPr>
                  <w:r>
                    <w:rPr>
                      <w:rFonts w:hint="eastAsia"/>
                      <w:szCs w:val="21"/>
                    </w:rPr>
                    <w:t>3</w:t>
                  </w:r>
                </w:p>
              </w:tc>
              <w:tc>
                <w:tcPr>
                  <w:tcW w:w="1701" w:type="dxa"/>
                  <w:vAlign w:val="center"/>
                </w:tcPr>
                <w:p w14:paraId="413A38B3">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双回终端塔</w:t>
                  </w:r>
                </w:p>
              </w:tc>
              <w:tc>
                <w:tcPr>
                  <w:tcW w:w="3969" w:type="dxa"/>
                  <w:vAlign w:val="center"/>
                </w:tcPr>
                <w:p w14:paraId="6B56DF77">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w:t>
                  </w:r>
                </w:p>
              </w:tc>
              <w:tc>
                <w:tcPr>
                  <w:tcW w:w="992" w:type="dxa"/>
                  <w:vAlign w:val="center"/>
                </w:tcPr>
                <w:p w14:paraId="230607B7">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基</w:t>
                  </w:r>
                </w:p>
              </w:tc>
              <w:tc>
                <w:tcPr>
                  <w:tcW w:w="1131" w:type="dxa"/>
                  <w:vAlign w:val="center"/>
                </w:tcPr>
                <w:p w14:paraId="23CE0922">
                  <w:pPr>
                    <w:keepNext w:val="0"/>
                    <w:keepLines w:val="0"/>
                    <w:suppressLineNumbers w:val="0"/>
                    <w:spacing w:before="0" w:beforeAutospacing="0" w:after="0" w:afterAutospacing="0"/>
                    <w:ind w:left="0" w:right="0"/>
                    <w:jc w:val="center"/>
                    <w:rPr>
                      <w:szCs w:val="21"/>
                    </w:rPr>
                  </w:pPr>
                  <w:r>
                    <w:rPr>
                      <w:rFonts w:hint="eastAsia"/>
                      <w:szCs w:val="21"/>
                    </w:rPr>
                    <w:t>1</w:t>
                  </w:r>
                </w:p>
              </w:tc>
            </w:tr>
            <w:tr w14:paraId="08F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3" w:type="dxa"/>
                  <w:gridSpan w:val="5"/>
                  <w:vAlign w:val="center"/>
                </w:tcPr>
                <w:p w14:paraId="6C6FAB35">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导、地线</w:t>
                  </w:r>
                </w:p>
              </w:tc>
            </w:tr>
            <w:tr w14:paraId="1FCE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157AFAF2">
                  <w:pPr>
                    <w:keepNext w:val="0"/>
                    <w:keepLines w:val="0"/>
                    <w:suppressLineNumbers w:val="0"/>
                    <w:spacing w:before="0" w:beforeAutospacing="0" w:after="0" w:afterAutospacing="0"/>
                    <w:ind w:left="0" w:right="0"/>
                    <w:jc w:val="center"/>
                    <w:rPr>
                      <w:szCs w:val="21"/>
                    </w:rPr>
                  </w:pPr>
                  <w:r>
                    <w:rPr>
                      <w:rFonts w:hint="eastAsia"/>
                      <w:szCs w:val="21"/>
                    </w:rPr>
                    <w:t>1</w:t>
                  </w:r>
                </w:p>
              </w:tc>
              <w:tc>
                <w:tcPr>
                  <w:tcW w:w="1701" w:type="dxa"/>
                  <w:vAlign w:val="center"/>
                </w:tcPr>
                <w:p w14:paraId="44811218">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导线</w:t>
                  </w:r>
                </w:p>
              </w:tc>
              <w:tc>
                <w:tcPr>
                  <w:tcW w:w="3969" w:type="dxa"/>
                  <w:vAlign w:val="center"/>
                </w:tcPr>
                <w:p w14:paraId="71CC4B11">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pacing w:val="7"/>
                      <w:szCs w:val="21"/>
                    </w:rPr>
                    <w:t>高导电率钢芯铝绞线</w:t>
                  </w:r>
                </w:p>
              </w:tc>
              <w:tc>
                <w:tcPr>
                  <w:tcW w:w="992" w:type="dxa"/>
                  <w:vAlign w:val="center"/>
                </w:tcPr>
                <w:p w14:paraId="7447060A">
                  <w:pPr>
                    <w:keepNext w:val="0"/>
                    <w:keepLines w:val="0"/>
                    <w:suppressLineNumbers w:val="0"/>
                    <w:spacing w:before="0" w:beforeAutospacing="0" w:after="0" w:afterAutospacing="0"/>
                    <w:ind w:left="0" w:right="0"/>
                    <w:jc w:val="center"/>
                    <w:rPr>
                      <w:szCs w:val="21"/>
                    </w:rPr>
                  </w:pPr>
                  <w:r>
                    <w:rPr>
                      <w:rFonts w:hint="eastAsia"/>
                      <w:szCs w:val="21"/>
                    </w:rPr>
                    <w:t>km</w:t>
                  </w:r>
                </w:p>
              </w:tc>
              <w:tc>
                <w:tcPr>
                  <w:tcW w:w="1131" w:type="dxa"/>
                  <w:vAlign w:val="center"/>
                </w:tcPr>
                <w:p w14:paraId="325AF3BA">
                  <w:pPr>
                    <w:keepNext w:val="0"/>
                    <w:keepLines w:val="0"/>
                    <w:suppressLineNumbers w:val="0"/>
                    <w:spacing w:before="0" w:beforeAutospacing="0" w:after="0" w:afterAutospacing="0"/>
                    <w:ind w:left="0" w:right="0"/>
                    <w:jc w:val="center"/>
                    <w:rPr>
                      <w:szCs w:val="21"/>
                    </w:rPr>
                  </w:pPr>
                  <w:r>
                    <w:rPr>
                      <w:rFonts w:hint="eastAsia"/>
                      <w:color w:val="000000" w:themeColor="text1"/>
                      <w:szCs w:val="21"/>
                    </w:rPr>
                    <w:t>7.84</w:t>
                  </w:r>
                </w:p>
              </w:tc>
            </w:tr>
            <w:tr w14:paraId="2FD4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114B4BFB">
                  <w:pPr>
                    <w:keepNext w:val="0"/>
                    <w:keepLines w:val="0"/>
                    <w:suppressLineNumbers w:val="0"/>
                    <w:spacing w:before="0" w:beforeAutospacing="0" w:after="0" w:afterAutospacing="0"/>
                    <w:ind w:left="0" w:right="0"/>
                    <w:jc w:val="center"/>
                    <w:rPr>
                      <w:szCs w:val="21"/>
                    </w:rPr>
                  </w:pPr>
                  <w:r>
                    <w:rPr>
                      <w:rFonts w:hint="eastAsia"/>
                      <w:szCs w:val="21"/>
                    </w:rPr>
                    <w:t>2</w:t>
                  </w:r>
                </w:p>
              </w:tc>
              <w:tc>
                <w:tcPr>
                  <w:tcW w:w="1701" w:type="dxa"/>
                  <w:vAlign w:val="center"/>
                </w:tcPr>
                <w:p w14:paraId="6E95D430">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地线</w:t>
                  </w:r>
                </w:p>
              </w:tc>
              <w:tc>
                <w:tcPr>
                  <w:tcW w:w="3969" w:type="dxa"/>
                  <w:vAlign w:val="center"/>
                </w:tcPr>
                <w:p w14:paraId="5D52A69D">
                  <w:pPr>
                    <w:keepNext w:val="0"/>
                    <w:keepLines w:val="0"/>
                    <w:suppressLineNumbers w:val="0"/>
                    <w:spacing w:before="0" w:beforeAutospacing="0" w:after="0" w:afterAutospacing="0"/>
                    <w:ind w:left="0" w:right="0"/>
                    <w:jc w:val="center"/>
                    <w:rPr>
                      <w:rFonts w:ascii="宋体" w:hAnsi="宋体" w:cs="宋体"/>
                      <w:szCs w:val="21"/>
                    </w:rPr>
                  </w:pPr>
                  <w:r>
                    <w:rPr>
                      <w:rFonts w:hint="default" w:ascii="Times New Roman" w:hAnsi="Times New Roman" w:cs="Times New Roman"/>
                      <w:spacing w:val="7"/>
                      <w:szCs w:val="21"/>
                    </w:rPr>
                    <w:t>OPGW-150</w:t>
                  </w:r>
                  <w:r>
                    <w:rPr>
                      <w:rFonts w:hint="eastAsia" w:ascii="宋体" w:hAnsi="宋体" w:cs="宋体"/>
                      <w:spacing w:val="7"/>
                      <w:szCs w:val="21"/>
                    </w:rPr>
                    <w:t>光缆</w:t>
                  </w:r>
                </w:p>
              </w:tc>
              <w:tc>
                <w:tcPr>
                  <w:tcW w:w="992" w:type="dxa"/>
                  <w:vAlign w:val="center"/>
                </w:tcPr>
                <w:p w14:paraId="4A75E1FF">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根</w:t>
                  </w:r>
                </w:p>
              </w:tc>
              <w:tc>
                <w:tcPr>
                  <w:tcW w:w="1131" w:type="dxa"/>
                  <w:vAlign w:val="center"/>
                </w:tcPr>
                <w:p w14:paraId="180D5CA4">
                  <w:pPr>
                    <w:keepNext w:val="0"/>
                    <w:keepLines w:val="0"/>
                    <w:suppressLineNumbers w:val="0"/>
                    <w:spacing w:before="0" w:beforeAutospacing="0" w:after="0" w:afterAutospacing="0"/>
                    <w:ind w:left="0" w:right="0"/>
                    <w:jc w:val="center"/>
                    <w:rPr>
                      <w:szCs w:val="21"/>
                    </w:rPr>
                  </w:pPr>
                  <w:r>
                    <w:rPr>
                      <w:rFonts w:hint="eastAsia"/>
                      <w:szCs w:val="21"/>
                    </w:rPr>
                    <w:t>2</w:t>
                  </w:r>
                </w:p>
              </w:tc>
            </w:tr>
            <w:tr w14:paraId="111D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3" w:type="dxa"/>
                  <w:gridSpan w:val="5"/>
                  <w:vAlign w:val="center"/>
                </w:tcPr>
                <w:p w14:paraId="74ADFD25">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隔离开关</w:t>
                  </w:r>
                </w:p>
              </w:tc>
            </w:tr>
            <w:tr w14:paraId="51F0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40D4892B">
                  <w:pPr>
                    <w:keepNext w:val="0"/>
                    <w:keepLines w:val="0"/>
                    <w:suppressLineNumbers w:val="0"/>
                    <w:spacing w:before="0" w:beforeAutospacing="0" w:after="0" w:afterAutospacing="0"/>
                    <w:ind w:left="0" w:right="0"/>
                    <w:jc w:val="center"/>
                    <w:rPr>
                      <w:szCs w:val="21"/>
                    </w:rPr>
                  </w:pPr>
                  <w:r>
                    <w:rPr>
                      <w:rFonts w:hint="eastAsia"/>
                      <w:szCs w:val="21"/>
                    </w:rPr>
                    <w:t>1</w:t>
                  </w:r>
                </w:p>
              </w:tc>
              <w:tc>
                <w:tcPr>
                  <w:tcW w:w="1701" w:type="dxa"/>
                  <w:vAlign w:val="center"/>
                </w:tcPr>
                <w:p w14:paraId="0E558A33">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隔离开关</w:t>
                  </w:r>
                </w:p>
              </w:tc>
              <w:tc>
                <w:tcPr>
                  <w:tcW w:w="3969" w:type="dxa"/>
                  <w:vAlign w:val="center"/>
                </w:tcPr>
                <w:p w14:paraId="51BF6AF6">
                  <w:pPr>
                    <w:keepNext w:val="0"/>
                    <w:keepLines w:val="0"/>
                    <w:widowControl/>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kern w:val="0"/>
                      <w:szCs w:val="21"/>
                    </w:rPr>
                    <w:t>三相隔离关，电动三柱水平旋转，双接地</w:t>
                  </w:r>
                </w:p>
              </w:tc>
              <w:tc>
                <w:tcPr>
                  <w:tcW w:w="992" w:type="dxa"/>
                  <w:vAlign w:val="center"/>
                </w:tcPr>
                <w:p w14:paraId="53EBE77B">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组</w:t>
                  </w:r>
                </w:p>
              </w:tc>
              <w:tc>
                <w:tcPr>
                  <w:tcW w:w="1131" w:type="dxa"/>
                  <w:vAlign w:val="center"/>
                </w:tcPr>
                <w:p w14:paraId="5FE5070D">
                  <w:pPr>
                    <w:keepNext w:val="0"/>
                    <w:keepLines w:val="0"/>
                    <w:suppressLineNumbers w:val="0"/>
                    <w:spacing w:before="0" w:beforeAutospacing="0" w:after="0" w:afterAutospacing="0"/>
                    <w:ind w:left="0" w:right="0"/>
                    <w:jc w:val="center"/>
                    <w:rPr>
                      <w:szCs w:val="21"/>
                    </w:rPr>
                  </w:pPr>
                  <w:r>
                    <w:rPr>
                      <w:rFonts w:hint="eastAsia"/>
                      <w:szCs w:val="21"/>
                    </w:rPr>
                    <w:t>1</w:t>
                  </w:r>
                </w:p>
              </w:tc>
            </w:tr>
            <w:tr w14:paraId="05B5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114808BD">
                  <w:pPr>
                    <w:keepNext w:val="0"/>
                    <w:keepLines w:val="0"/>
                    <w:suppressLineNumbers w:val="0"/>
                    <w:spacing w:before="0" w:beforeAutospacing="0" w:after="0" w:afterAutospacing="0"/>
                    <w:ind w:left="0" w:right="0"/>
                    <w:jc w:val="center"/>
                    <w:rPr>
                      <w:szCs w:val="21"/>
                    </w:rPr>
                  </w:pPr>
                  <w:r>
                    <w:rPr>
                      <w:rFonts w:hint="eastAsia"/>
                      <w:szCs w:val="21"/>
                    </w:rPr>
                    <w:t>2</w:t>
                  </w:r>
                </w:p>
              </w:tc>
              <w:tc>
                <w:tcPr>
                  <w:tcW w:w="1701" w:type="dxa"/>
                  <w:vAlign w:val="center"/>
                </w:tcPr>
                <w:p w14:paraId="7E1296CF">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隔离开关</w:t>
                  </w:r>
                </w:p>
              </w:tc>
              <w:tc>
                <w:tcPr>
                  <w:tcW w:w="3969" w:type="dxa"/>
                  <w:vAlign w:val="center"/>
                </w:tcPr>
                <w:p w14:paraId="08B94AC7">
                  <w:pPr>
                    <w:keepNext w:val="0"/>
                    <w:keepLines w:val="0"/>
                    <w:suppressLineNumbers w:val="0"/>
                    <w:spacing w:before="0" w:beforeAutospacing="0" w:after="0" w:afterAutospacing="0"/>
                    <w:ind w:left="0" w:right="0"/>
                    <w:jc w:val="center"/>
                    <w:rPr>
                      <w:rFonts w:ascii="宋体" w:hAnsi="宋体" w:cs="宋体"/>
                      <w:szCs w:val="21"/>
                    </w:rPr>
                  </w:pPr>
                  <w:r>
                    <w:rPr>
                      <w:rFonts w:hint="eastAsia"/>
                      <w:kern w:val="0"/>
                      <w:szCs w:val="21"/>
                    </w:rPr>
                    <w:t>220kV</w:t>
                  </w:r>
                  <w:r>
                    <w:rPr>
                      <w:rFonts w:hint="eastAsia" w:ascii="宋体" w:hAnsi="宋体" w:cs="宋体"/>
                      <w:kern w:val="0"/>
                      <w:szCs w:val="21"/>
                    </w:rPr>
                    <w:t>三相隔离关，电动三柱水平旋转，单接地</w:t>
                  </w:r>
                </w:p>
              </w:tc>
              <w:tc>
                <w:tcPr>
                  <w:tcW w:w="992" w:type="dxa"/>
                  <w:vAlign w:val="center"/>
                </w:tcPr>
                <w:p w14:paraId="6866BCE7">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组</w:t>
                  </w:r>
                </w:p>
              </w:tc>
              <w:tc>
                <w:tcPr>
                  <w:tcW w:w="1131" w:type="dxa"/>
                  <w:vAlign w:val="center"/>
                </w:tcPr>
                <w:p w14:paraId="30DC675E">
                  <w:pPr>
                    <w:keepNext w:val="0"/>
                    <w:keepLines w:val="0"/>
                    <w:suppressLineNumbers w:val="0"/>
                    <w:spacing w:before="0" w:beforeAutospacing="0" w:after="0" w:afterAutospacing="0"/>
                    <w:ind w:left="0" w:right="0"/>
                    <w:jc w:val="center"/>
                    <w:rPr>
                      <w:szCs w:val="21"/>
                    </w:rPr>
                  </w:pPr>
                  <w:r>
                    <w:rPr>
                      <w:rFonts w:hint="eastAsia"/>
                      <w:szCs w:val="21"/>
                    </w:rPr>
                    <w:t>1</w:t>
                  </w:r>
                </w:p>
              </w:tc>
            </w:tr>
            <w:tr w14:paraId="0B40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6E7536EF">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3</w:t>
                  </w:r>
                </w:p>
              </w:tc>
              <w:tc>
                <w:tcPr>
                  <w:tcW w:w="1701" w:type="dxa"/>
                  <w:vAlign w:val="center"/>
                </w:tcPr>
                <w:p w14:paraId="01BCC27A">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隔离开关</w:t>
                  </w:r>
                </w:p>
              </w:tc>
              <w:tc>
                <w:tcPr>
                  <w:tcW w:w="3969" w:type="dxa"/>
                  <w:vAlign w:val="center"/>
                </w:tcPr>
                <w:p w14:paraId="37801D13">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kern w:val="0"/>
                      <w:szCs w:val="21"/>
                    </w:rPr>
                    <w:t>三相隔离关，电动三柱水平旋转，不接地</w:t>
                  </w:r>
                </w:p>
              </w:tc>
              <w:tc>
                <w:tcPr>
                  <w:tcW w:w="992" w:type="dxa"/>
                  <w:vAlign w:val="center"/>
                </w:tcPr>
                <w:p w14:paraId="2CD8CDBE">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组</w:t>
                  </w:r>
                </w:p>
              </w:tc>
              <w:tc>
                <w:tcPr>
                  <w:tcW w:w="1131" w:type="dxa"/>
                  <w:vAlign w:val="center"/>
                </w:tcPr>
                <w:p w14:paraId="38335F85">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1</w:t>
                  </w:r>
                </w:p>
              </w:tc>
            </w:tr>
            <w:tr w14:paraId="1617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3" w:type="dxa"/>
                  <w:gridSpan w:val="5"/>
                  <w:vAlign w:val="center"/>
                </w:tcPr>
                <w:p w14:paraId="1BF5819A">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断路器</w:t>
                  </w:r>
                </w:p>
              </w:tc>
            </w:tr>
            <w:tr w14:paraId="3576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66C00594">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1</w:t>
                  </w:r>
                </w:p>
              </w:tc>
              <w:tc>
                <w:tcPr>
                  <w:tcW w:w="1701" w:type="dxa"/>
                  <w:vAlign w:val="center"/>
                </w:tcPr>
                <w:p w14:paraId="03DB1144">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szCs w:val="21"/>
                    </w:rPr>
                    <w:t>断路器</w:t>
                  </w:r>
                </w:p>
              </w:tc>
              <w:tc>
                <w:tcPr>
                  <w:tcW w:w="3969" w:type="dxa"/>
                  <w:vAlign w:val="center"/>
                </w:tcPr>
                <w:p w14:paraId="2F157510">
                  <w:pPr>
                    <w:keepNext w:val="0"/>
                    <w:keepLines w:val="0"/>
                    <w:suppressLineNumbers w:val="0"/>
                    <w:spacing w:before="0" w:beforeAutospacing="0" w:after="0" w:afterAutospacing="0"/>
                    <w:ind w:left="0" w:right="0"/>
                    <w:jc w:val="center"/>
                    <w:rPr>
                      <w:rFonts w:ascii="宋体" w:hAnsi="宋体" w:cs="宋体"/>
                      <w:szCs w:val="21"/>
                    </w:rPr>
                  </w:pPr>
                  <w:r>
                    <w:rPr>
                      <w:rFonts w:hint="eastAsia"/>
                      <w:szCs w:val="21"/>
                    </w:rPr>
                    <w:t>220kV</w:t>
                  </w:r>
                  <w:r>
                    <w:rPr>
                      <w:rFonts w:hint="eastAsia" w:ascii="宋体" w:hAnsi="宋体" w:cs="宋体"/>
                      <w:kern w:val="0"/>
                      <w:szCs w:val="21"/>
                    </w:rPr>
                    <w:t>瓷柱式断路器，分相操作，户外，海拔</w:t>
                  </w:r>
                  <w:r>
                    <w:rPr>
                      <w:rFonts w:hint="eastAsia"/>
                      <w:szCs w:val="21"/>
                    </w:rPr>
                    <w:t>1000</w:t>
                  </w:r>
                  <w:r>
                    <w:rPr>
                      <w:rFonts w:hint="eastAsia" w:ascii="宋体" w:hAnsi="宋体" w:cs="宋体"/>
                      <w:kern w:val="0"/>
                      <w:szCs w:val="21"/>
                    </w:rPr>
                    <w:t>米</w:t>
                  </w:r>
                </w:p>
              </w:tc>
              <w:tc>
                <w:tcPr>
                  <w:tcW w:w="992" w:type="dxa"/>
                  <w:vAlign w:val="center"/>
                </w:tcPr>
                <w:p w14:paraId="701022C0">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组</w:t>
                  </w:r>
                </w:p>
              </w:tc>
              <w:tc>
                <w:tcPr>
                  <w:tcW w:w="1131" w:type="dxa"/>
                  <w:vAlign w:val="center"/>
                </w:tcPr>
                <w:p w14:paraId="55BA3956">
                  <w:pPr>
                    <w:keepNext w:val="0"/>
                    <w:keepLines w:val="0"/>
                    <w:suppressLineNumbers w:val="0"/>
                    <w:spacing w:before="0" w:beforeAutospacing="0" w:after="0" w:afterAutospacing="0"/>
                    <w:ind w:left="0" w:right="0"/>
                    <w:jc w:val="center"/>
                    <w:rPr>
                      <w:szCs w:val="21"/>
                    </w:rPr>
                  </w:pPr>
                  <w:r>
                    <w:rPr>
                      <w:rFonts w:hint="eastAsia"/>
                      <w:szCs w:val="21"/>
                    </w:rPr>
                    <w:t>1</w:t>
                  </w:r>
                </w:p>
              </w:tc>
            </w:tr>
          </w:tbl>
          <w:p w14:paraId="01B99683">
            <w:pPr>
              <w:keepNext w:val="0"/>
              <w:keepLines w:val="0"/>
              <w:suppressLineNumbers w:val="0"/>
              <w:spacing w:before="0" w:beforeAutospacing="0" w:after="0" w:afterAutospacing="0" w:line="360" w:lineRule="auto"/>
              <w:ind w:left="0" w:right="0" w:firstLine="480" w:firstLineChars="200"/>
              <w:rPr>
                <w:color w:val="000000" w:themeColor="text1"/>
                <w:sz w:val="24"/>
              </w:rPr>
            </w:pPr>
            <w:r>
              <w:rPr>
                <w:rFonts w:hint="eastAsia"/>
                <w:color w:val="000000" w:themeColor="text1"/>
                <w:sz w:val="24"/>
              </w:rPr>
              <w:t>本项目库米什220kV变电站扩建间隔主要技术指示见下表。</w:t>
            </w:r>
          </w:p>
          <w:p w14:paraId="6D811AAD">
            <w:pPr>
              <w:keepNext w:val="0"/>
              <w:keepLines w:val="0"/>
              <w:suppressLineNumbers w:val="0"/>
              <w:snapToGrid w:val="0"/>
              <w:spacing w:before="0" w:beforeAutospacing="0" w:after="0" w:afterAutospacing="0"/>
              <w:ind w:left="0" w:right="0"/>
              <w:jc w:val="center"/>
              <w:rPr>
                <w:rFonts w:hint="eastAsia" w:hAnsi="宋体"/>
                <w:b/>
                <w:bCs/>
                <w:color w:val="000000" w:themeColor="text1"/>
                <w:sz w:val="21"/>
                <w:szCs w:val="21"/>
              </w:rPr>
            </w:pPr>
            <w:r>
              <w:rPr>
                <w:rFonts w:hint="eastAsia"/>
                <w:b/>
                <w:bCs/>
                <w:color w:val="000000" w:themeColor="text1"/>
                <w:sz w:val="21"/>
                <w:szCs w:val="21"/>
              </w:rPr>
              <w:t xml:space="preserve">表2-4 </w:t>
            </w:r>
            <w:r>
              <w:rPr>
                <w:rFonts w:hint="eastAsia"/>
                <w:b/>
                <w:bCs/>
                <w:color w:val="000000" w:themeColor="text1"/>
                <w:sz w:val="21"/>
                <w:szCs w:val="21"/>
                <w:lang w:val="en-US" w:eastAsia="zh-CN"/>
              </w:rPr>
              <w:t xml:space="preserve"> </w:t>
            </w:r>
            <w:r>
              <w:rPr>
                <w:rFonts w:hint="eastAsia"/>
                <w:b/>
                <w:bCs/>
                <w:color w:val="000000" w:themeColor="text1"/>
                <w:sz w:val="21"/>
                <w:szCs w:val="21"/>
              </w:rPr>
              <w:t xml:space="preserve"> 扩建间隔</w:t>
            </w:r>
            <w:r>
              <w:rPr>
                <w:rFonts w:hint="eastAsia" w:hAnsi="宋体"/>
                <w:b/>
                <w:bCs/>
                <w:color w:val="000000" w:themeColor="text1"/>
                <w:sz w:val="21"/>
                <w:szCs w:val="21"/>
              </w:rPr>
              <w:t>主要技术指标一览表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84"/>
              <w:gridCol w:w="5889"/>
            </w:tblGrid>
            <w:tr w14:paraId="710E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345FC9ED">
                  <w:pPr>
                    <w:keepNext w:val="0"/>
                    <w:keepLines w:val="0"/>
                    <w:suppressLineNumbers w:val="0"/>
                    <w:spacing w:before="0" w:beforeAutospacing="0" w:after="0" w:afterAutospacing="0"/>
                    <w:ind w:left="0" w:right="0"/>
                    <w:jc w:val="center"/>
                    <w:rPr>
                      <w:rFonts w:hint="eastAsia"/>
                      <w:b/>
                      <w:color w:val="000000" w:themeColor="text1"/>
                      <w:sz w:val="21"/>
                      <w:szCs w:val="21"/>
                    </w:rPr>
                  </w:pPr>
                  <w:r>
                    <w:rPr>
                      <w:rFonts w:hint="eastAsia"/>
                      <w:b/>
                      <w:color w:val="000000" w:themeColor="text1"/>
                      <w:sz w:val="21"/>
                      <w:szCs w:val="21"/>
                    </w:rPr>
                    <w:t>序号</w:t>
                  </w:r>
                </w:p>
              </w:tc>
              <w:tc>
                <w:tcPr>
                  <w:tcW w:w="1984" w:type="dxa"/>
                </w:tcPr>
                <w:p w14:paraId="3E68950D">
                  <w:pPr>
                    <w:keepNext w:val="0"/>
                    <w:keepLines w:val="0"/>
                    <w:suppressLineNumbers w:val="0"/>
                    <w:spacing w:before="0" w:beforeAutospacing="0" w:after="0" w:afterAutospacing="0"/>
                    <w:ind w:left="0" w:right="0"/>
                    <w:jc w:val="center"/>
                    <w:rPr>
                      <w:rFonts w:hint="eastAsia"/>
                      <w:b/>
                      <w:color w:val="000000" w:themeColor="text1"/>
                      <w:sz w:val="21"/>
                      <w:szCs w:val="21"/>
                    </w:rPr>
                  </w:pPr>
                  <w:r>
                    <w:rPr>
                      <w:rFonts w:hint="eastAsia"/>
                      <w:b/>
                      <w:color w:val="000000" w:themeColor="text1"/>
                      <w:sz w:val="21"/>
                      <w:szCs w:val="21"/>
                    </w:rPr>
                    <w:t>名称</w:t>
                  </w:r>
                </w:p>
              </w:tc>
              <w:tc>
                <w:tcPr>
                  <w:tcW w:w="5889" w:type="dxa"/>
                </w:tcPr>
                <w:p w14:paraId="337ECAFA">
                  <w:pPr>
                    <w:keepNext w:val="0"/>
                    <w:keepLines w:val="0"/>
                    <w:suppressLineNumbers w:val="0"/>
                    <w:spacing w:before="0" w:beforeAutospacing="0" w:after="0" w:afterAutospacing="0"/>
                    <w:ind w:left="0" w:right="0"/>
                    <w:jc w:val="center"/>
                    <w:rPr>
                      <w:rFonts w:hint="eastAsia"/>
                      <w:b/>
                      <w:color w:val="000000" w:themeColor="text1"/>
                      <w:sz w:val="21"/>
                      <w:szCs w:val="21"/>
                    </w:rPr>
                  </w:pPr>
                  <w:r>
                    <w:rPr>
                      <w:rFonts w:hint="eastAsia"/>
                      <w:b/>
                      <w:color w:val="000000" w:themeColor="text1"/>
                      <w:sz w:val="21"/>
                      <w:szCs w:val="21"/>
                    </w:rPr>
                    <w:t>技术指标</w:t>
                  </w:r>
                </w:p>
              </w:tc>
            </w:tr>
            <w:tr w14:paraId="4688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12320F7">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1</w:t>
                  </w:r>
                </w:p>
              </w:tc>
              <w:tc>
                <w:tcPr>
                  <w:tcW w:w="1984" w:type="dxa"/>
                  <w:vAlign w:val="center"/>
                </w:tcPr>
                <w:p w14:paraId="6B41AECF">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主变压器（MVA）</w:t>
                  </w:r>
                </w:p>
              </w:tc>
              <w:tc>
                <w:tcPr>
                  <w:tcW w:w="5889" w:type="dxa"/>
                  <w:vAlign w:val="center"/>
                </w:tcPr>
                <w:p w14:paraId="16BA6FFD">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w:t>
                  </w:r>
                </w:p>
              </w:tc>
            </w:tr>
            <w:tr w14:paraId="3D1D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E0A75D0">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2</w:t>
                  </w:r>
                </w:p>
              </w:tc>
              <w:tc>
                <w:tcPr>
                  <w:tcW w:w="1984" w:type="dxa"/>
                  <w:vAlign w:val="center"/>
                </w:tcPr>
                <w:p w14:paraId="21E8E316">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220kV出线（回）</w:t>
                  </w:r>
                </w:p>
              </w:tc>
              <w:tc>
                <w:tcPr>
                  <w:tcW w:w="5889" w:type="dxa"/>
                  <w:vAlign w:val="center"/>
                </w:tcPr>
                <w:p w14:paraId="68781CE7">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1</w:t>
                  </w:r>
                </w:p>
              </w:tc>
            </w:tr>
            <w:tr w14:paraId="6F83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42B49FB7">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3</w:t>
                  </w:r>
                </w:p>
              </w:tc>
              <w:tc>
                <w:tcPr>
                  <w:tcW w:w="1984" w:type="dxa"/>
                  <w:vAlign w:val="center"/>
                </w:tcPr>
                <w:p w14:paraId="1FDF7363">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本期接入位置</w:t>
                  </w:r>
                </w:p>
              </w:tc>
              <w:tc>
                <w:tcPr>
                  <w:tcW w:w="5889" w:type="dxa"/>
                  <w:vAlign w:val="center"/>
                </w:tcPr>
                <w:p w14:paraId="4EA856D6">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拟接入库米什220kV变电站由西至东第</w:t>
                  </w:r>
                  <w:r>
                    <w:rPr>
                      <w:color w:val="000000" w:themeColor="text1"/>
                      <w:sz w:val="21"/>
                      <w:szCs w:val="21"/>
                    </w:rPr>
                    <w:t>І</w:t>
                  </w:r>
                  <w:r>
                    <w:rPr>
                      <w:rFonts w:hint="eastAsia"/>
                      <w:color w:val="000000" w:themeColor="text1"/>
                      <w:sz w:val="21"/>
                      <w:szCs w:val="21"/>
                    </w:rPr>
                    <w:t>回扩建220kV出线间隔位置</w:t>
                  </w:r>
                </w:p>
              </w:tc>
            </w:tr>
            <w:tr w14:paraId="1631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3EECB1C7">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4</w:t>
                  </w:r>
                </w:p>
              </w:tc>
              <w:tc>
                <w:tcPr>
                  <w:tcW w:w="1984" w:type="dxa"/>
                  <w:vAlign w:val="center"/>
                </w:tcPr>
                <w:p w14:paraId="4E83FCC8">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配电装置</w:t>
                  </w:r>
                </w:p>
              </w:tc>
              <w:tc>
                <w:tcPr>
                  <w:tcW w:w="5889" w:type="dxa"/>
                  <w:vAlign w:val="center"/>
                </w:tcPr>
                <w:p w14:paraId="19CB35BF">
                  <w:pPr>
                    <w:keepNext w:val="0"/>
                    <w:keepLines w:val="0"/>
                    <w:suppressLineNumbers w:val="0"/>
                    <w:spacing w:before="0" w:beforeAutospacing="0" w:after="0" w:afterAutospacing="0"/>
                    <w:ind w:left="0" w:right="0"/>
                    <w:jc w:val="center"/>
                    <w:rPr>
                      <w:rFonts w:hint="eastAsia"/>
                      <w:color w:val="000000" w:themeColor="text1"/>
                      <w:sz w:val="21"/>
                      <w:szCs w:val="21"/>
                    </w:rPr>
                  </w:pPr>
                  <w:r>
                    <w:rPr>
                      <w:rFonts w:hint="eastAsia"/>
                      <w:color w:val="000000" w:themeColor="text1"/>
                      <w:sz w:val="21"/>
                      <w:szCs w:val="21"/>
                    </w:rPr>
                    <w:t>双母线接线方式，220kV侧中性点为直接接地设计，户外中型布置，220kV侧主接线规划为双母线接线。</w:t>
                  </w:r>
                </w:p>
              </w:tc>
            </w:tr>
          </w:tbl>
          <w:p w14:paraId="3F5F98CC">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jc w:val="left"/>
              <w:textAlignment w:val="auto"/>
              <w:rPr>
                <w:rFonts w:hAnsi="宋体"/>
                <w:b/>
                <w:color w:val="000000" w:themeColor="text1"/>
                <w:sz w:val="24"/>
              </w:rPr>
            </w:pPr>
            <w:r>
              <w:rPr>
                <w:rFonts w:hint="eastAsia" w:hAnsi="宋体"/>
                <w:b/>
                <w:color w:val="000000" w:themeColor="text1"/>
                <w:sz w:val="24"/>
              </w:rPr>
              <w:t>3、</w:t>
            </w:r>
            <w:r>
              <w:rPr>
                <w:rFonts w:hAnsi="宋体"/>
                <w:b/>
                <w:color w:val="000000" w:themeColor="text1"/>
                <w:sz w:val="24"/>
              </w:rPr>
              <w:t>项目占地</w:t>
            </w:r>
          </w:p>
          <w:p w14:paraId="595E5327">
            <w:pPr>
              <w:keepNext w:val="0"/>
              <w:keepLines w:val="0"/>
              <w:widowControl/>
              <w:suppressLineNumbers w:val="0"/>
              <w:tabs>
                <w:tab w:val="left" w:pos="1260"/>
              </w:tabs>
              <w:snapToGrid w:val="0"/>
              <w:spacing w:before="0" w:beforeAutospacing="0" w:after="0" w:afterAutospacing="0" w:line="360" w:lineRule="auto"/>
              <w:ind w:left="0" w:right="0" w:firstLine="480" w:firstLineChars="200"/>
              <w:rPr>
                <w:rFonts w:hAnsi="宋体"/>
                <w:color w:val="000000" w:themeColor="text1"/>
                <w:sz w:val="24"/>
              </w:rPr>
            </w:pPr>
            <w:r>
              <w:rPr>
                <w:rFonts w:hint="eastAsia" w:hAnsi="宋体"/>
                <w:color w:val="000000" w:themeColor="text1"/>
                <w:sz w:val="24"/>
              </w:rPr>
              <w:t>本项目用地包括永久用地和临时用地，总用地</w:t>
            </w:r>
            <w:r>
              <w:rPr>
                <w:rFonts w:hAnsi="宋体"/>
                <w:color w:val="000000" w:themeColor="text1"/>
                <w:sz w:val="24"/>
              </w:rPr>
              <w:t>面积</w:t>
            </w:r>
            <w:r>
              <w:rPr>
                <w:rFonts w:hint="eastAsia" w:hAnsi="宋体"/>
                <w:color w:val="000000" w:themeColor="text1"/>
                <w:sz w:val="24"/>
              </w:rPr>
              <w:t>120244</w:t>
            </w:r>
            <w:r>
              <w:rPr>
                <w:rFonts w:hAnsi="宋体"/>
                <w:color w:val="000000" w:themeColor="text1"/>
                <w:sz w:val="24"/>
              </w:rPr>
              <w:t>m</w:t>
            </w:r>
            <w:r>
              <w:rPr>
                <w:rFonts w:hAnsi="宋体"/>
                <w:color w:val="000000" w:themeColor="text1"/>
                <w:sz w:val="24"/>
                <w:vertAlign w:val="superscript"/>
              </w:rPr>
              <w:t>2</w:t>
            </w:r>
            <w:r>
              <w:rPr>
                <w:rFonts w:hAnsi="宋体"/>
                <w:color w:val="000000" w:themeColor="text1"/>
                <w:sz w:val="24"/>
              </w:rPr>
              <w:t>，其中永久</w:t>
            </w:r>
            <w:r>
              <w:rPr>
                <w:rFonts w:hint="eastAsia" w:hAnsi="宋体"/>
                <w:color w:val="000000" w:themeColor="text1"/>
                <w:sz w:val="24"/>
              </w:rPr>
              <w:t>用地面积28444</w:t>
            </w:r>
            <w:r>
              <w:rPr>
                <w:rFonts w:hAnsi="宋体"/>
                <w:color w:val="000000" w:themeColor="text1"/>
                <w:sz w:val="24"/>
              </w:rPr>
              <w:t>m</w:t>
            </w:r>
            <w:r>
              <w:rPr>
                <w:rFonts w:hAnsi="宋体"/>
                <w:color w:val="000000" w:themeColor="text1"/>
                <w:sz w:val="24"/>
                <w:vertAlign w:val="superscript"/>
              </w:rPr>
              <w:t>2</w:t>
            </w:r>
            <w:r>
              <w:rPr>
                <w:rFonts w:hint="eastAsia" w:hAnsi="宋体"/>
                <w:color w:val="000000" w:themeColor="text1"/>
                <w:sz w:val="24"/>
              </w:rPr>
              <w:t>，</w:t>
            </w:r>
            <w:r>
              <w:rPr>
                <w:rFonts w:hAnsi="宋体"/>
                <w:color w:val="000000" w:themeColor="text1"/>
                <w:sz w:val="24"/>
              </w:rPr>
              <w:t>临时</w:t>
            </w:r>
            <w:r>
              <w:rPr>
                <w:rFonts w:hint="eastAsia" w:hAnsi="宋体"/>
                <w:color w:val="000000" w:themeColor="text1"/>
                <w:sz w:val="24"/>
              </w:rPr>
              <w:t>用地面积91800</w:t>
            </w:r>
            <w:r>
              <w:rPr>
                <w:rFonts w:hAnsi="宋体"/>
                <w:color w:val="000000" w:themeColor="text1"/>
                <w:sz w:val="24"/>
              </w:rPr>
              <w:t>m</w:t>
            </w:r>
            <w:r>
              <w:rPr>
                <w:rFonts w:hAnsi="宋体"/>
                <w:color w:val="000000" w:themeColor="text1"/>
                <w:sz w:val="24"/>
                <w:vertAlign w:val="superscript"/>
              </w:rPr>
              <w:t>2</w:t>
            </w:r>
            <w:r>
              <w:rPr>
                <w:rFonts w:hint="eastAsia" w:hAnsi="宋体"/>
                <w:color w:val="000000" w:themeColor="text1"/>
                <w:sz w:val="24"/>
              </w:rPr>
              <w:t>。</w:t>
            </w:r>
          </w:p>
          <w:p w14:paraId="65832BD7">
            <w:pPr>
              <w:keepNext w:val="0"/>
              <w:keepLines w:val="0"/>
              <w:widowControl/>
              <w:suppressLineNumbers w:val="0"/>
              <w:tabs>
                <w:tab w:val="left" w:pos="1260"/>
              </w:tabs>
              <w:snapToGrid w:val="0"/>
              <w:spacing w:before="0" w:beforeAutospacing="0" w:after="0" w:afterAutospacing="0" w:line="360" w:lineRule="auto"/>
              <w:ind w:left="0" w:right="0" w:firstLine="480" w:firstLineChars="200"/>
              <w:rPr>
                <w:rFonts w:hAnsi="宋体"/>
                <w:color w:val="000000" w:themeColor="text1"/>
                <w:sz w:val="24"/>
              </w:rPr>
            </w:pPr>
            <w:r>
              <w:rPr>
                <w:rFonts w:hint="eastAsia" w:hAnsi="宋体"/>
                <w:color w:val="000000" w:themeColor="text1"/>
                <w:sz w:val="24"/>
              </w:rPr>
              <w:t>永久用地包括：220kV升压站、塔基。</w:t>
            </w:r>
          </w:p>
          <w:p w14:paraId="20EBF866">
            <w:pPr>
              <w:keepNext w:val="0"/>
              <w:keepLines w:val="0"/>
              <w:widowControl/>
              <w:suppressLineNumbers w:val="0"/>
              <w:tabs>
                <w:tab w:val="left" w:pos="1260"/>
              </w:tabs>
              <w:snapToGrid w:val="0"/>
              <w:spacing w:before="0" w:beforeAutospacing="0" w:after="0" w:afterAutospacing="0" w:line="360" w:lineRule="auto"/>
              <w:ind w:left="0" w:right="0" w:firstLine="480" w:firstLineChars="200"/>
              <w:rPr>
                <w:rFonts w:hAnsi="宋体"/>
                <w:color w:val="000000" w:themeColor="text1"/>
                <w:sz w:val="24"/>
              </w:rPr>
            </w:pPr>
            <w:r>
              <w:rPr>
                <w:rFonts w:hint="eastAsia" w:hAnsi="宋体"/>
                <w:color w:val="000000" w:themeColor="text1"/>
                <w:sz w:val="24"/>
              </w:rPr>
              <w:t>临时用地包括：</w:t>
            </w:r>
            <w:r>
              <w:rPr>
                <w:rFonts w:hAnsi="宋体"/>
                <w:bCs/>
                <w:color w:val="000000" w:themeColor="text1"/>
                <w:sz w:val="24"/>
              </w:rPr>
              <w:t>施工临建场地</w:t>
            </w:r>
            <w:r>
              <w:rPr>
                <w:rFonts w:hint="eastAsia" w:hAnsi="宋体"/>
                <w:bCs/>
                <w:color w:val="000000" w:themeColor="text1"/>
                <w:sz w:val="24"/>
              </w:rPr>
              <w:t>、牵张场、临时施工道路</w:t>
            </w:r>
            <w:r>
              <w:rPr>
                <w:rFonts w:hint="eastAsia" w:hAnsi="宋体"/>
                <w:color w:val="000000" w:themeColor="text1"/>
                <w:sz w:val="24"/>
              </w:rPr>
              <w:t>。</w:t>
            </w:r>
          </w:p>
          <w:p w14:paraId="2DA669A0">
            <w:pPr>
              <w:keepNext w:val="0"/>
              <w:keepLines w:val="0"/>
              <w:suppressLineNumbers w:val="0"/>
              <w:snapToGrid w:val="0"/>
              <w:spacing w:before="0" w:beforeAutospacing="0" w:after="0" w:afterAutospacing="0"/>
              <w:ind w:left="0" w:right="0"/>
              <w:jc w:val="center"/>
              <w:rPr>
                <w:rFonts w:hAnsi="宋体"/>
                <w:b/>
                <w:color w:val="000000" w:themeColor="text1"/>
                <w:szCs w:val="21"/>
              </w:rPr>
            </w:pPr>
            <w:r>
              <w:rPr>
                <w:rFonts w:hAnsi="宋体"/>
                <w:b/>
                <w:color w:val="000000" w:themeColor="text1"/>
                <w:szCs w:val="21"/>
              </w:rPr>
              <w:t>表</w:t>
            </w:r>
            <w:r>
              <w:rPr>
                <w:rFonts w:hint="eastAsia" w:hAnsi="宋体"/>
                <w:b/>
                <w:color w:val="000000" w:themeColor="text1"/>
                <w:szCs w:val="21"/>
              </w:rPr>
              <w:t xml:space="preserve">2-5 </w:t>
            </w:r>
            <w:r>
              <w:rPr>
                <w:rFonts w:hint="eastAsia" w:hAnsi="宋体"/>
                <w:b/>
                <w:color w:val="000000" w:themeColor="text1"/>
                <w:szCs w:val="21"/>
                <w:lang w:val="en-US" w:eastAsia="zh-CN"/>
              </w:rPr>
              <w:t xml:space="preserve"> </w:t>
            </w:r>
            <w:r>
              <w:rPr>
                <w:rFonts w:hint="eastAsia" w:hAnsi="宋体"/>
                <w:b/>
                <w:color w:val="000000" w:themeColor="text1"/>
                <w:szCs w:val="21"/>
              </w:rPr>
              <w:t xml:space="preserve"> </w:t>
            </w:r>
            <w:r>
              <w:rPr>
                <w:rFonts w:hAnsi="宋体"/>
                <w:b/>
                <w:color w:val="000000" w:themeColor="text1"/>
                <w:szCs w:val="21"/>
              </w:rPr>
              <w:t>项目占地</w:t>
            </w:r>
            <w:r>
              <w:rPr>
                <w:rFonts w:hint="eastAsia" w:hAnsi="宋体"/>
                <w:b/>
                <w:color w:val="000000" w:themeColor="text1"/>
                <w:szCs w:val="21"/>
              </w:rPr>
              <w:t>情况一览</w:t>
            </w:r>
            <w:r>
              <w:rPr>
                <w:rFonts w:hAnsi="宋体"/>
                <w:b/>
                <w:color w:val="000000" w:themeColor="text1"/>
                <w:szCs w:val="21"/>
              </w:rPr>
              <w:t>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1184"/>
              <w:gridCol w:w="2519"/>
              <w:gridCol w:w="2514"/>
            </w:tblGrid>
            <w:tr w14:paraId="1ED6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076ADBDE">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项目</w:t>
                  </w:r>
                </w:p>
              </w:tc>
              <w:tc>
                <w:tcPr>
                  <w:tcW w:w="687" w:type="pct"/>
                  <w:vAlign w:val="center"/>
                </w:tcPr>
                <w:p w14:paraId="1D385331">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单位</w:t>
                  </w:r>
                </w:p>
              </w:tc>
              <w:tc>
                <w:tcPr>
                  <w:tcW w:w="1462" w:type="pct"/>
                  <w:vAlign w:val="center"/>
                </w:tcPr>
                <w:p w14:paraId="0D45807E">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面积</w:t>
                  </w:r>
                </w:p>
              </w:tc>
              <w:tc>
                <w:tcPr>
                  <w:tcW w:w="1459" w:type="pct"/>
                  <w:vAlign w:val="center"/>
                </w:tcPr>
                <w:p w14:paraId="2A5AD57E">
                  <w:pPr>
                    <w:keepNext w:val="0"/>
                    <w:keepLines w:val="0"/>
                    <w:suppressLineNumbers w:val="0"/>
                    <w:spacing w:before="0" w:beforeAutospacing="0" w:after="0" w:afterAutospacing="0" w:line="240" w:lineRule="exact"/>
                    <w:ind w:left="0" w:right="0"/>
                    <w:jc w:val="center"/>
                    <w:rPr>
                      <w:color w:val="000000" w:themeColor="text1"/>
                      <w:szCs w:val="21"/>
                    </w:rPr>
                  </w:pPr>
                  <w:r>
                    <w:rPr>
                      <w:rFonts w:hint="eastAsia"/>
                      <w:color w:val="000000" w:themeColor="text1"/>
                      <w:szCs w:val="21"/>
                    </w:rPr>
                    <w:t>占地</w:t>
                  </w:r>
                  <w:r>
                    <w:rPr>
                      <w:color w:val="000000" w:themeColor="text1"/>
                      <w:szCs w:val="21"/>
                    </w:rPr>
                    <w:t>性质</w:t>
                  </w:r>
                </w:p>
              </w:tc>
            </w:tr>
            <w:tr w14:paraId="0149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7D607EC">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1、永久用地</w:t>
                  </w:r>
                </w:p>
              </w:tc>
            </w:tr>
            <w:tr w14:paraId="3528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7A344BEE">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220kV升压站</w:t>
                  </w:r>
                </w:p>
              </w:tc>
              <w:tc>
                <w:tcPr>
                  <w:tcW w:w="687" w:type="pct"/>
                  <w:vAlign w:val="center"/>
                </w:tcPr>
                <w:p w14:paraId="5B5182E0">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36D6096B">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rFonts w:hint="eastAsia"/>
                      <w:color w:val="000000" w:themeColor="text1"/>
                      <w:szCs w:val="21"/>
                    </w:rPr>
                    <w:t>22513</w:t>
                  </w:r>
                </w:p>
              </w:tc>
              <w:tc>
                <w:tcPr>
                  <w:tcW w:w="1459" w:type="pct"/>
                  <w:vAlign w:val="center"/>
                </w:tcPr>
                <w:p w14:paraId="4783BF6A">
                  <w:pPr>
                    <w:keepNext w:val="0"/>
                    <w:keepLines w:val="0"/>
                    <w:suppressLineNumbers w:val="0"/>
                    <w:snapToGrid w:val="0"/>
                    <w:spacing w:before="0" w:beforeAutospacing="0" w:after="0" w:afterAutospacing="0" w:line="240" w:lineRule="exact"/>
                    <w:ind w:left="0" w:right="0"/>
                    <w:jc w:val="center"/>
                    <w:rPr>
                      <w:rFonts w:hint="eastAsia" w:eastAsia="宋体"/>
                      <w:color w:val="000000" w:themeColor="text1"/>
                      <w:szCs w:val="21"/>
                      <w:highlight w:val="yellow"/>
                      <w:lang w:eastAsia="zh-CN"/>
                    </w:rPr>
                  </w:pPr>
                  <w:r>
                    <w:rPr>
                      <w:rFonts w:hint="eastAsia"/>
                      <w:color w:val="000000" w:themeColor="text1"/>
                      <w:szCs w:val="21"/>
                      <w:highlight w:val="none"/>
                      <w:lang w:eastAsia="zh-CN"/>
                    </w:rPr>
                    <w:t>建设用地</w:t>
                  </w:r>
                </w:p>
              </w:tc>
            </w:tr>
            <w:tr w14:paraId="416B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71840B84">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塔基</w:t>
                  </w:r>
                </w:p>
              </w:tc>
              <w:tc>
                <w:tcPr>
                  <w:tcW w:w="687" w:type="pct"/>
                  <w:vAlign w:val="center"/>
                </w:tcPr>
                <w:p w14:paraId="34ACECFB">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6BD5D4B7">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3621</w:t>
                  </w:r>
                </w:p>
              </w:tc>
              <w:tc>
                <w:tcPr>
                  <w:tcW w:w="1459" w:type="pct"/>
                  <w:vAlign w:val="center"/>
                </w:tcPr>
                <w:p w14:paraId="3DD72943">
                  <w:pPr>
                    <w:keepNext w:val="0"/>
                    <w:keepLines w:val="0"/>
                    <w:suppressLineNumbers w:val="0"/>
                    <w:snapToGrid w:val="0"/>
                    <w:spacing w:before="0" w:beforeAutospacing="0" w:after="0" w:afterAutospacing="0" w:line="240" w:lineRule="exact"/>
                    <w:ind w:left="0" w:right="0"/>
                    <w:jc w:val="center"/>
                    <w:rPr>
                      <w:rFonts w:hint="eastAsia" w:eastAsia="宋体"/>
                      <w:color w:val="000000" w:themeColor="text1"/>
                      <w:szCs w:val="21"/>
                      <w:highlight w:val="yellow"/>
                      <w:lang w:eastAsia="zh-CN"/>
                    </w:rPr>
                  </w:pPr>
                  <w:r>
                    <w:rPr>
                      <w:rFonts w:hint="eastAsia"/>
                      <w:color w:val="000000" w:themeColor="text1"/>
                      <w:szCs w:val="21"/>
                      <w:highlight w:val="none"/>
                      <w:lang w:eastAsia="zh-CN"/>
                    </w:rPr>
                    <w:t>未利用地、建设用地</w:t>
                  </w:r>
                </w:p>
              </w:tc>
            </w:tr>
            <w:tr w14:paraId="4259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1508CC2C">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rFonts w:hint="eastAsia"/>
                      <w:color w:val="000000" w:themeColor="text1"/>
                      <w:szCs w:val="21"/>
                    </w:rPr>
                    <w:t>库米什220kV变电站扩建间隔</w:t>
                  </w:r>
                </w:p>
              </w:tc>
              <w:tc>
                <w:tcPr>
                  <w:tcW w:w="687" w:type="pct"/>
                  <w:vAlign w:val="center"/>
                </w:tcPr>
                <w:p w14:paraId="3E26C2EB">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3D3BC12C">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rFonts w:hint="eastAsia"/>
                      <w:color w:val="000000" w:themeColor="text1"/>
                      <w:szCs w:val="21"/>
                    </w:rPr>
                    <w:t>2310</w:t>
                  </w:r>
                </w:p>
              </w:tc>
              <w:tc>
                <w:tcPr>
                  <w:tcW w:w="1459" w:type="pct"/>
                  <w:vAlign w:val="center"/>
                </w:tcPr>
                <w:p w14:paraId="7404EA0B">
                  <w:pPr>
                    <w:keepNext w:val="0"/>
                    <w:keepLines w:val="0"/>
                    <w:suppressLineNumbers w:val="0"/>
                    <w:snapToGrid w:val="0"/>
                    <w:spacing w:before="0" w:beforeAutospacing="0" w:after="0" w:afterAutospacing="0" w:line="240" w:lineRule="exact"/>
                    <w:ind w:left="0" w:right="0"/>
                    <w:jc w:val="center"/>
                    <w:rPr>
                      <w:color w:val="000000" w:themeColor="text1"/>
                      <w:szCs w:val="21"/>
                      <w:highlight w:val="yellow"/>
                    </w:rPr>
                  </w:pPr>
                  <w:r>
                    <w:rPr>
                      <w:rFonts w:hint="eastAsia"/>
                      <w:color w:val="000000" w:themeColor="text1"/>
                      <w:szCs w:val="21"/>
                      <w:highlight w:val="none"/>
                    </w:rPr>
                    <w:t>未利用地</w:t>
                  </w:r>
                </w:p>
              </w:tc>
            </w:tr>
            <w:tr w14:paraId="4B44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C5AD43E">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2、临时用地</w:t>
                  </w:r>
                </w:p>
              </w:tc>
            </w:tr>
            <w:tr w14:paraId="74E1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0BF687CE">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bCs/>
                      <w:color w:val="000000" w:themeColor="text1"/>
                      <w:szCs w:val="21"/>
                    </w:rPr>
                    <w:t>施工临建场地</w:t>
                  </w:r>
                </w:p>
              </w:tc>
              <w:tc>
                <w:tcPr>
                  <w:tcW w:w="687" w:type="pct"/>
                  <w:vAlign w:val="center"/>
                </w:tcPr>
                <w:p w14:paraId="28954A66">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63F3844A">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5000</w:t>
                  </w:r>
                </w:p>
              </w:tc>
              <w:tc>
                <w:tcPr>
                  <w:tcW w:w="1459" w:type="pct"/>
                  <w:vMerge w:val="restart"/>
                  <w:vAlign w:val="center"/>
                </w:tcPr>
                <w:p w14:paraId="24B5810F">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rFonts w:hint="eastAsia"/>
                      <w:color w:val="000000" w:themeColor="text1"/>
                      <w:szCs w:val="21"/>
                      <w:highlight w:val="none"/>
                      <w:lang w:eastAsia="zh-CN"/>
                    </w:rPr>
                    <w:t>未利用地</w:t>
                  </w:r>
                </w:p>
              </w:tc>
            </w:tr>
            <w:tr w14:paraId="5748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1B6BB8BA">
                  <w:pPr>
                    <w:keepNext w:val="0"/>
                    <w:keepLines w:val="0"/>
                    <w:suppressLineNumbers w:val="0"/>
                    <w:snapToGrid w:val="0"/>
                    <w:spacing w:before="0" w:beforeAutospacing="0" w:after="0" w:afterAutospacing="0" w:line="240" w:lineRule="exact"/>
                    <w:ind w:left="0" w:right="0"/>
                    <w:jc w:val="center"/>
                    <w:rPr>
                      <w:bCs/>
                      <w:color w:val="000000" w:themeColor="text1"/>
                      <w:szCs w:val="21"/>
                    </w:rPr>
                  </w:pPr>
                  <w:r>
                    <w:rPr>
                      <w:bCs/>
                      <w:color w:val="000000" w:themeColor="text1"/>
                      <w:szCs w:val="21"/>
                    </w:rPr>
                    <w:t>牵张场</w:t>
                  </w:r>
                </w:p>
              </w:tc>
              <w:tc>
                <w:tcPr>
                  <w:tcW w:w="687" w:type="pct"/>
                  <w:vAlign w:val="center"/>
                </w:tcPr>
                <w:p w14:paraId="136F9380">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55C57693">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16800</w:t>
                  </w:r>
                </w:p>
              </w:tc>
              <w:tc>
                <w:tcPr>
                  <w:tcW w:w="1459" w:type="pct"/>
                  <w:vMerge w:val="continue"/>
                  <w:vAlign w:val="center"/>
                </w:tcPr>
                <w:p w14:paraId="0598741E">
                  <w:pPr>
                    <w:keepNext w:val="0"/>
                    <w:keepLines w:val="0"/>
                    <w:suppressLineNumbers w:val="0"/>
                    <w:snapToGrid w:val="0"/>
                    <w:spacing w:before="0" w:beforeAutospacing="0" w:after="0" w:afterAutospacing="0" w:line="240" w:lineRule="exact"/>
                    <w:ind w:left="0" w:right="0"/>
                    <w:jc w:val="center"/>
                    <w:rPr>
                      <w:color w:val="000000" w:themeColor="text1"/>
                      <w:szCs w:val="21"/>
                    </w:rPr>
                  </w:pPr>
                </w:p>
              </w:tc>
            </w:tr>
            <w:tr w14:paraId="7815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vAlign w:val="center"/>
                </w:tcPr>
                <w:p w14:paraId="41F85C8D">
                  <w:pPr>
                    <w:keepNext w:val="0"/>
                    <w:keepLines w:val="0"/>
                    <w:suppressLineNumbers w:val="0"/>
                    <w:snapToGrid w:val="0"/>
                    <w:spacing w:before="0" w:beforeAutospacing="0" w:after="0" w:afterAutospacing="0" w:line="240" w:lineRule="exact"/>
                    <w:ind w:left="0" w:right="0"/>
                    <w:jc w:val="center"/>
                    <w:rPr>
                      <w:bCs/>
                      <w:color w:val="000000" w:themeColor="text1"/>
                      <w:szCs w:val="21"/>
                    </w:rPr>
                  </w:pPr>
                  <w:r>
                    <w:rPr>
                      <w:bCs/>
                      <w:color w:val="000000" w:themeColor="text1"/>
                      <w:szCs w:val="21"/>
                    </w:rPr>
                    <w:t>临时施工道路</w:t>
                  </w:r>
                </w:p>
              </w:tc>
              <w:tc>
                <w:tcPr>
                  <w:tcW w:w="687" w:type="pct"/>
                  <w:vAlign w:val="center"/>
                </w:tcPr>
                <w:p w14:paraId="6C6963C1">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m</w:t>
                  </w:r>
                  <w:r>
                    <w:rPr>
                      <w:color w:val="000000" w:themeColor="text1"/>
                      <w:szCs w:val="21"/>
                      <w:vertAlign w:val="superscript"/>
                    </w:rPr>
                    <w:t>2</w:t>
                  </w:r>
                </w:p>
              </w:tc>
              <w:tc>
                <w:tcPr>
                  <w:tcW w:w="1462" w:type="pct"/>
                  <w:vAlign w:val="center"/>
                </w:tcPr>
                <w:p w14:paraId="679E8837">
                  <w:pPr>
                    <w:keepNext w:val="0"/>
                    <w:keepLines w:val="0"/>
                    <w:suppressLineNumbers w:val="0"/>
                    <w:snapToGrid w:val="0"/>
                    <w:spacing w:before="0" w:beforeAutospacing="0" w:after="0" w:afterAutospacing="0" w:line="240" w:lineRule="exact"/>
                    <w:ind w:left="0" w:right="0"/>
                    <w:jc w:val="center"/>
                    <w:rPr>
                      <w:color w:val="000000" w:themeColor="text1"/>
                      <w:szCs w:val="21"/>
                    </w:rPr>
                  </w:pPr>
                  <w:r>
                    <w:rPr>
                      <w:color w:val="000000" w:themeColor="text1"/>
                      <w:szCs w:val="21"/>
                    </w:rPr>
                    <w:t>70000</w:t>
                  </w:r>
                </w:p>
              </w:tc>
              <w:tc>
                <w:tcPr>
                  <w:tcW w:w="1459" w:type="pct"/>
                  <w:vMerge w:val="continue"/>
                  <w:vAlign w:val="center"/>
                </w:tcPr>
                <w:p w14:paraId="3794CA8A">
                  <w:pPr>
                    <w:keepNext w:val="0"/>
                    <w:keepLines w:val="0"/>
                    <w:suppressLineNumbers w:val="0"/>
                    <w:snapToGrid w:val="0"/>
                    <w:spacing w:before="0" w:beforeAutospacing="0" w:after="0" w:afterAutospacing="0" w:line="240" w:lineRule="exact"/>
                    <w:ind w:left="0" w:right="0"/>
                    <w:jc w:val="center"/>
                    <w:rPr>
                      <w:color w:val="000000" w:themeColor="text1"/>
                      <w:szCs w:val="21"/>
                    </w:rPr>
                  </w:pPr>
                </w:p>
              </w:tc>
            </w:tr>
            <w:tr w14:paraId="3BF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5000" w:type="pct"/>
                  <w:gridSpan w:val="4"/>
                  <w:vAlign w:val="center"/>
                </w:tcPr>
                <w:p w14:paraId="6876B03F">
                  <w:pPr>
                    <w:keepNext w:val="0"/>
                    <w:keepLines w:val="0"/>
                    <w:suppressLineNumbers w:val="0"/>
                    <w:spacing w:before="0" w:beforeAutospacing="0" w:after="0" w:afterAutospacing="0" w:line="240" w:lineRule="exact"/>
                    <w:ind w:left="0" w:right="0"/>
                    <w:jc w:val="center"/>
                    <w:rPr>
                      <w:color w:val="000000" w:themeColor="text1"/>
                      <w:szCs w:val="21"/>
                    </w:rPr>
                  </w:pPr>
                  <w:r>
                    <w:rPr>
                      <w:color w:val="000000" w:themeColor="text1"/>
                      <w:szCs w:val="21"/>
                    </w:rPr>
                    <w:t xml:space="preserve">      总用地面积合计：</w:t>
                  </w:r>
                  <w:r>
                    <w:rPr>
                      <w:rFonts w:hint="eastAsia"/>
                      <w:color w:val="000000" w:themeColor="text1"/>
                      <w:szCs w:val="21"/>
                    </w:rPr>
                    <w:t>120244</w:t>
                  </w:r>
                  <w:r>
                    <w:rPr>
                      <w:color w:val="000000" w:themeColor="text1"/>
                      <w:szCs w:val="21"/>
                    </w:rPr>
                    <w:t>m</w:t>
                  </w:r>
                  <w:r>
                    <w:rPr>
                      <w:color w:val="000000" w:themeColor="text1"/>
                      <w:szCs w:val="21"/>
                      <w:vertAlign w:val="superscript"/>
                    </w:rPr>
                    <w:t>2</w:t>
                  </w:r>
                </w:p>
              </w:tc>
            </w:tr>
          </w:tbl>
          <w:p w14:paraId="05DD8D21">
            <w:pPr>
              <w:keepNext w:val="0"/>
              <w:keepLines w:val="0"/>
              <w:suppressLineNumbers w:val="0"/>
              <w:spacing w:before="0" w:beforeAutospacing="0" w:after="0" w:afterAutospacing="0" w:line="360" w:lineRule="auto"/>
              <w:ind w:left="0" w:right="0"/>
              <w:rPr>
                <w:b/>
                <w:bCs/>
                <w:sz w:val="24"/>
              </w:rPr>
            </w:pPr>
            <w:r>
              <w:rPr>
                <w:rFonts w:hint="eastAsia"/>
                <w:b/>
                <w:bCs/>
                <w:sz w:val="24"/>
              </w:rPr>
              <w:t>4、公用工程</w:t>
            </w:r>
          </w:p>
          <w:p w14:paraId="5420B602">
            <w:pPr>
              <w:keepNext w:val="0"/>
              <w:keepLines w:val="0"/>
              <w:suppressLineNumbers w:val="0"/>
              <w:spacing w:before="0" w:beforeAutospacing="0" w:after="0" w:afterAutospacing="0" w:line="360" w:lineRule="auto"/>
              <w:ind w:left="0" w:right="0"/>
              <w:rPr>
                <w:b/>
                <w:bCs/>
                <w:sz w:val="24"/>
              </w:rPr>
            </w:pPr>
            <w:r>
              <w:rPr>
                <w:rFonts w:hint="eastAsia"/>
                <w:b/>
                <w:bCs/>
                <w:sz w:val="24"/>
              </w:rPr>
              <w:t>4.1供水</w:t>
            </w:r>
          </w:p>
          <w:p w14:paraId="24CC38B6">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本项目用水采取市政供水管线接引至本项目区，以满足本项目用水需求，本项目只有运营期站内职工人员生活用水。</w:t>
            </w:r>
          </w:p>
          <w:p w14:paraId="4B33BAAF">
            <w:pPr>
              <w:keepNext w:val="0"/>
              <w:keepLines w:val="0"/>
              <w:suppressLineNumbers w:val="0"/>
              <w:spacing w:before="0" w:beforeAutospacing="0" w:after="0" w:afterAutospacing="0" w:line="360" w:lineRule="auto"/>
              <w:ind w:left="0" w:right="0" w:firstLine="480" w:firstLineChars="200"/>
              <w:rPr>
                <w:sz w:val="24"/>
              </w:rPr>
            </w:pPr>
            <w:r>
              <w:rPr>
                <w:sz w:val="24"/>
              </w:rPr>
              <w:t>该项目劳动定员</w:t>
            </w:r>
            <w:r>
              <w:rPr>
                <w:rFonts w:hint="eastAsia"/>
                <w:sz w:val="24"/>
              </w:rPr>
              <w:t xml:space="preserve">15人（升压站15人，输电线路无人值守），职工在单位食宿， </w:t>
            </w:r>
          </w:p>
          <w:p w14:paraId="38796F87">
            <w:pPr>
              <w:keepNext w:val="0"/>
              <w:keepLines w:val="0"/>
              <w:suppressLineNumbers w:val="0"/>
              <w:spacing w:before="0" w:beforeAutospacing="0" w:after="0" w:afterAutospacing="0" w:line="360" w:lineRule="auto"/>
              <w:ind w:left="0" w:right="0"/>
              <w:rPr>
                <w:sz w:val="24"/>
              </w:rPr>
            </w:pPr>
            <w:r>
              <w:rPr>
                <w:rFonts w:hint="eastAsia"/>
                <w:sz w:val="24"/>
              </w:rPr>
              <w:t>参照《新疆维吾尔自治区生活用水定额》，本次评价职工生活用水以</w:t>
            </w:r>
            <w:r>
              <w:rPr>
                <w:sz w:val="24"/>
              </w:rPr>
              <w:t>80L/</w:t>
            </w:r>
            <w:r>
              <w:rPr>
                <w:rFonts w:hint="eastAsia"/>
                <w:sz w:val="24"/>
              </w:rPr>
              <w:t xml:space="preserve">人·d </w:t>
            </w:r>
          </w:p>
          <w:p w14:paraId="6D04E03D">
            <w:pPr>
              <w:keepNext w:val="0"/>
              <w:keepLines w:val="0"/>
              <w:suppressLineNumbers w:val="0"/>
              <w:spacing w:before="0" w:beforeAutospacing="0" w:after="0" w:afterAutospacing="0" w:line="360" w:lineRule="auto"/>
              <w:ind w:left="0" w:right="0"/>
              <w:rPr>
                <w:sz w:val="24"/>
              </w:rPr>
            </w:pPr>
            <w:r>
              <w:rPr>
                <w:rFonts w:hint="eastAsia"/>
                <w:sz w:val="24"/>
              </w:rPr>
              <w:t>计，年工作</w:t>
            </w:r>
            <w:r>
              <w:rPr>
                <w:sz w:val="24"/>
              </w:rPr>
              <w:t>365</w:t>
            </w:r>
            <w:r>
              <w:rPr>
                <w:rFonts w:hint="eastAsia"/>
                <w:sz w:val="24"/>
              </w:rPr>
              <w:t>天，则生活用水量为1.2m³/d，438m³/a。</w:t>
            </w:r>
          </w:p>
          <w:p w14:paraId="2DE60AE1">
            <w:pPr>
              <w:keepNext w:val="0"/>
              <w:keepLines w:val="0"/>
              <w:suppressLineNumbers w:val="0"/>
              <w:spacing w:before="0" w:beforeAutospacing="0" w:after="0" w:afterAutospacing="0" w:line="360" w:lineRule="auto"/>
              <w:ind w:left="0" w:right="0"/>
              <w:rPr>
                <w:rFonts w:hAnsi="宋体"/>
                <w:b/>
                <w:sz w:val="24"/>
              </w:rPr>
            </w:pPr>
            <w:r>
              <w:rPr>
                <w:rFonts w:hint="eastAsia" w:hAnsi="宋体"/>
                <w:b/>
                <w:sz w:val="24"/>
              </w:rPr>
              <w:t>4.2排水</w:t>
            </w:r>
          </w:p>
          <w:p w14:paraId="0B0D59FE">
            <w:pPr>
              <w:keepNext w:val="0"/>
              <w:keepLines w:val="0"/>
              <w:suppressLineNumbers w:val="0"/>
              <w:spacing w:before="0" w:beforeAutospacing="0" w:after="0" w:afterAutospacing="0" w:line="360" w:lineRule="auto"/>
              <w:ind w:left="0" w:right="0" w:firstLine="480" w:firstLineChars="200"/>
              <w:rPr>
                <w:sz w:val="24"/>
              </w:rPr>
            </w:pPr>
            <w:r>
              <w:rPr>
                <w:rFonts w:hint="eastAsia" w:hAnsi="宋体"/>
                <w:sz w:val="24"/>
              </w:rPr>
              <w:t>项</w:t>
            </w:r>
            <w:r>
              <w:rPr>
                <w:rFonts w:hint="eastAsia"/>
                <w:sz w:val="24"/>
              </w:rPr>
              <w:t>目外排废水主要为站内生活区职工人员生活污水。</w:t>
            </w:r>
          </w:p>
          <w:p w14:paraId="7486845A">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生活污水排放量按照用水量的80%计算，本项目生活污水排放量为0.96m³/d，350.4m³/a。本项目生活污水水质简单，无特殊的污染因子，本项目在生活区内拟建1座地埋式一体化污水处理设备，处理能力为0.5m³/h，在食堂设置隔油池1个，食堂餐饮废水经隔油池处理后，同生活污水一并排入地埋式一体化污水处理设备，经处理后出水水质满足新疆维吾尔自治区《农村生活污水处理排放标准》（DB65 4275-2019）表2 A级水质标准后，排入项目区150m³防渗集水池内，冬季贮存于集水池，夏季回用于生活区绿化。</w:t>
            </w:r>
          </w:p>
          <w:p w14:paraId="2ED0DBDB">
            <w:pPr>
              <w:keepNext w:val="0"/>
              <w:keepLines w:val="0"/>
              <w:suppressLineNumbers w:val="0"/>
              <w:spacing w:before="0" w:beforeAutospacing="0" w:after="0" w:afterAutospacing="0" w:line="360" w:lineRule="auto"/>
              <w:ind w:left="0" w:right="0"/>
              <w:rPr>
                <w:rFonts w:hAnsi="宋体"/>
                <w:b/>
                <w:sz w:val="24"/>
              </w:rPr>
            </w:pPr>
            <w:r>
              <w:rPr>
                <w:rFonts w:hint="eastAsia" w:hAnsi="宋体"/>
                <w:b/>
                <w:sz w:val="24"/>
              </w:rPr>
              <w:t>4.3采暖、通风系统</w:t>
            </w:r>
          </w:p>
          <w:p w14:paraId="25FFEBBB">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ascii="宋体" w:hAnsi="宋体"/>
                <w:sz w:val="24"/>
              </w:rPr>
              <w:t>设施设备采用电采暖</w:t>
            </w:r>
            <w:r>
              <w:rPr>
                <w:rFonts w:hint="eastAsia" w:hAnsi="宋体"/>
                <w:sz w:val="24"/>
              </w:rPr>
              <w:t>；通风为自然通风。</w:t>
            </w:r>
          </w:p>
          <w:p w14:paraId="23230F4D">
            <w:pPr>
              <w:keepNext w:val="0"/>
              <w:keepLines w:val="0"/>
              <w:suppressLineNumbers w:val="0"/>
              <w:spacing w:before="0" w:beforeAutospacing="0" w:after="0" w:afterAutospacing="0" w:line="360" w:lineRule="auto"/>
              <w:ind w:left="0" w:right="0"/>
              <w:rPr>
                <w:rFonts w:hAnsi="宋体"/>
                <w:b/>
                <w:sz w:val="24"/>
              </w:rPr>
            </w:pPr>
            <w:r>
              <w:rPr>
                <w:rFonts w:hint="eastAsia" w:hAnsi="宋体"/>
                <w:b/>
                <w:sz w:val="24"/>
              </w:rPr>
              <w:t>4.4供电</w:t>
            </w:r>
          </w:p>
          <w:p w14:paraId="0E4E68A3">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就近接入10kV线路。</w:t>
            </w:r>
          </w:p>
          <w:p w14:paraId="335B6214">
            <w:pPr>
              <w:keepNext w:val="0"/>
              <w:keepLines w:val="0"/>
              <w:suppressLineNumbers w:val="0"/>
              <w:snapToGrid w:val="0"/>
              <w:spacing w:before="0" w:beforeAutospacing="0" w:after="0" w:afterAutospacing="0" w:line="360" w:lineRule="auto"/>
              <w:ind w:left="0" w:right="0"/>
              <w:jc w:val="left"/>
              <w:rPr>
                <w:rFonts w:hAnsi="宋体"/>
                <w:b/>
                <w:sz w:val="24"/>
                <w:highlight w:val="yellow"/>
              </w:rPr>
            </w:pPr>
            <w:r>
              <w:rPr>
                <w:rFonts w:hint="eastAsia" w:hAnsi="宋体"/>
                <w:b/>
                <w:sz w:val="24"/>
              </w:rPr>
              <w:t>5、</w:t>
            </w:r>
            <w:r>
              <w:rPr>
                <w:rFonts w:hAnsi="宋体"/>
                <w:b/>
                <w:sz w:val="24"/>
              </w:rPr>
              <w:t>土石方平衡</w:t>
            </w:r>
          </w:p>
          <w:p w14:paraId="484F73AA">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根据可研设计资料，本项目开挖土石方22524m³，共回填土石方22524m³，无弃土石方。</w:t>
            </w:r>
          </w:p>
          <w:p w14:paraId="201B93B3">
            <w:pPr>
              <w:keepNext w:val="0"/>
              <w:keepLines w:val="0"/>
              <w:suppressLineNumbers w:val="0"/>
              <w:snapToGrid w:val="0"/>
              <w:spacing w:before="0" w:beforeAutospacing="0" w:after="0" w:afterAutospacing="0" w:line="360" w:lineRule="auto"/>
              <w:ind w:left="0" w:right="0"/>
              <w:rPr>
                <w:rFonts w:hAnsi="宋体"/>
                <w:b/>
                <w:bCs/>
                <w:sz w:val="24"/>
              </w:rPr>
            </w:pPr>
            <w:r>
              <w:rPr>
                <w:rFonts w:hint="eastAsia" w:hAnsi="宋体"/>
                <w:b/>
                <w:bCs/>
                <w:sz w:val="24"/>
              </w:rPr>
              <w:t>6、</w:t>
            </w:r>
            <w:r>
              <w:rPr>
                <w:rFonts w:hAnsi="宋体"/>
                <w:b/>
                <w:bCs/>
                <w:sz w:val="24"/>
              </w:rPr>
              <w:t>施工进度</w:t>
            </w:r>
          </w:p>
          <w:p w14:paraId="703EA33A">
            <w:pPr>
              <w:keepNext w:val="0"/>
              <w:keepLines w:val="0"/>
              <w:suppressLineNumbers w:val="0"/>
              <w:spacing w:before="0" w:beforeAutospacing="0" w:after="0" w:afterAutospacing="0" w:line="360" w:lineRule="auto"/>
              <w:ind w:left="0" w:right="0" w:firstLine="480" w:firstLineChars="200"/>
              <w:rPr>
                <w:rFonts w:hAnsi="宋体"/>
                <w:bCs/>
                <w:sz w:val="24"/>
              </w:rPr>
            </w:pPr>
            <w:r>
              <w:rPr>
                <w:rFonts w:hint="eastAsia" w:hAnsi="宋体"/>
                <w:bCs/>
                <w:sz w:val="24"/>
              </w:rPr>
              <w:t>本</w:t>
            </w:r>
            <w:r>
              <w:rPr>
                <w:rFonts w:hAnsi="宋体"/>
                <w:bCs/>
                <w:sz w:val="24"/>
              </w:rPr>
              <w:t>项目建设期共</w:t>
            </w:r>
            <w:r>
              <w:rPr>
                <w:rFonts w:hint="eastAsia" w:hAnsi="宋体"/>
                <w:bCs/>
                <w:sz w:val="24"/>
              </w:rPr>
              <w:t>6</w:t>
            </w:r>
            <w:r>
              <w:rPr>
                <w:rFonts w:hAnsi="宋体"/>
                <w:bCs/>
                <w:sz w:val="24"/>
              </w:rPr>
              <w:t>个月。</w:t>
            </w:r>
          </w:p>
          <w:p w14:paraId="4A5B56A8">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78" w:rightChars="37"/>
              <w:textAlignment w:val="auto"/>
              <w:rPr>
                <w:rFonts w:hAnsi="宋体"/>
                <w:b/>
                <w:bCs/>
                <w:sz w:val="24"/>
              </w:rPr>
            </w:pPr>
            <w:r>
              <w:rPr>
                <w:rFonts w:hint="eastAsia" w:hAnsi="宋体"/>
                <w:b/>
                <w:bCs/>
                <w:sz w:val="24"/>
              </w:rPr>
              <w:t>7、劳动定员及工作制度</w:t>
            </w:r>
          </w:p>
          <w:p w14:paraId="11606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Ansi="宋体"/>
                <w:b/>
                <w:bCs/>
                <w:szCs w:val="21"/>
              </w:rPr>
            </w:pPr>
            <w:r>
              <w:rPr>
                <w:rFonts w:hint="eastAsia" w:ascii="宋体" w:hAnsi="宋体"/>
                <w:sz w:val="24"/>
              </w:rPr>
              <w:t>本项目运营期输电线</w:t>
            </w:r>
            <w:r>
              <w:rPr>
                <w:rFonts w:hint="eastAsia" w:ascii="宋体" w:hAnsi="宋体"/>
                <w:color w:val="000000" w:themeColor="text1"/>
                <w:sz w:val="24"/>
              </w:rPr>
              <w:t>路及扩建间隔无人值守</w:t>
            </w:r>
            <w:r>
              <w:rPr>
                <w:rFonts w:hint="eastAsia" w:ascii="宋体" w:hAnsi="宋体"/>
                <w:sz w:val="24"/>
              </w:rPr>
              <w:t>，公司管理人员定期进行巡检</w:t>
            </w:r>
            <w:r>
              <w:rPr>
                <w:rFonts w:hint="eastAsia" w:hAnsi="宋体"/>
                <w:bCs/>
                <w:sz w:val="24"/>
              </w:rPr>
              <w:t>，升压站内劳动定员为15人，年工作365天。</w:t>
            </w:r>
          </w:p>
        </w:tc>
      </w:tr>
      <w:tr w14:paraId="2A72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708" w:type="dxa"/>
            <w:vAlign w:val="center"/>
          </w:tcPr>
          <w:p w14:paraId="12C49D1C">
            <w:pPr>
              <w:pStyle w:val="4"/>
              <w:keepNext w:val="0"/>
              <w:numPr>
                <w:ilvl w:val="2"/>
                <w:numId w:val="0"/>
              </w:numPr>
              <w:suppressLineNumbers w:val="0"/>
              <w:tabs>
                <w:tab w:val="clear" w:pos="720"/>
              </w:tabs>
              <w:spacing w:before="0" w:beforeAutospacing="0" w:after="0" w:afterAutospacing="0"/>
              <w:ind w:left="0" w:right="0"/>
              <w:outlineLvl w:val="2"/>
              <w:rPr>
                <w:sz w:val="24"/>
                <w:szCs w:val="24"/>
              </w:rPr>
            </w:pPr>
            <w:r>
              <w:rPr>
                <w:rFonts w:hint="eastAsia"/>
                <w:sz w:val="24"/>
                <w:szCs w:val="24"/>
              </w:rPr>
              <w:t>总平面及现场布置</w:t>
            </w:r>
          </w:p>
        </w:tc>
        <w:tc>
          <w:tcPr>
            <w:tcW w:w="8842" w:type="dxa"/>
          </w:tcPr>
          <w:p w14:paraId="4D873530">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b/>
                <w:bCs/>
                <w:sz w:val="24"/>
              </w:rPr>
            </w:pPr>
            <w:r>
              <w:rPr>
                <w:rFonts w:hint="eastAsia"/>
                <w:b/>
                <w:bCs/>
                <w:sz w:val="24"/>
              </w:rPr>
              <w:t>总平面布置</w:t>
            </w:r>
          </w:p>
          <w:p w14:paraId="3A7EF017">
            <w:pPr>
              <w:keepNext w:val="0"/>
              <w:keepLines w:val="0"/>
              <w:suppressLineNumbers w:val="0"/>
              <w:spacing w:before="0" w:beforeAutospacing="0" w:after="0" w:afterAutospacing="0" w:line="360" w:lineRule="auto"/>
              <w:ind w:left="0" w:right="0"/>
              <w:rPr>
                <w:sz w:val="24"/>
              </w:rPr>
            </w:pPr>
            <w:r>
              <w:rPr>
                <w:rFonts w:hint="eastAsia"/>
                <w:sz w:val="24"/>
              </w:rPr>
              <w:t>1、220kV升压站总平面布置</w:t>
            </w:r>
          </w:p>
          <w:p w14:paraId="1862684A">
            <w:pPr>
              <w:keepNext w:val="0"/>
              <w:keepLines w:val="0"/>
              <w:suppressLineNumbers w:val="0"/>
              <w:spacing w:before="0" w:beforeAutospacing="0" w:after="0" w:afterAutospacing="0" w:line="360" w:lineRule="auto"/>
              <w:ind w:left="0" w:right="0" w:firstLine="480" w:firstLineChars="200"/>
              <w:rPr>
                <w:spacing w:val="1"/>
                <w:sz w:val="24"/>
              </w:rPr>
            </w:pPr>
            <w:r>
              <w:rPr>
                <w:sz w:val="24"/>
              </w:rPr>
              <w:t>220</w:t>
            </w:r>
            <w:r>
              <w:rPr>
                <w:rFonts w:hint="eastAsia"/>
                <w:sz w:val="24"/>
              </w:rPr>
              <w:t>kV</w:t>
            </w:r>
            <w:r>
              <w:rPr>
                <w:sz w:val="24"/>
              </w:rPr>
              <w:t>升压站是</w:t>
            </w:r>
            <w:r>
              <w:rPr>
                <w:rFonts w:hint="eastAsia"/>
                <w:spacing w:val="9"/>
                <w:sz w:val="24"/>
              </w:rPr>
              <w:t>京能吐鲁番市托克逊县产业园区低碳转型光伏项目</w:t>
            </w:r>
            <w:r>
              <w:rPr>
                <w:sz w:val="24"/>
              </w:rPr>
              <w:t>的运行控制中心，同时也作为工作人员生活及办公场所。站内分为生活区、生产区、储能区，</w:t>
            </w:r>
            <w:r>
              <w:rPr>
                <w:rFonts w:hint="eastAsia"/>
                <w:spacing w:val="1"/>
                <w:sz w:val="24"/>
              </w:rPr>
              <w:t>生活区包含综合用房、警卫室，危废暂存间等；生产区包含1台主变；储能区包含PCS预制舱、电池舱等。220kV升压站占地面</w:t>
            </w:r>
            <w:r>
              <w:rPr>
                <w:rFonts w:hint="eastAsia"/>
                <w:color w:val="000000" w:themeColor="text1"/>
                <w:spacing w:val="1"/>
                <w:sz w:val="24"/>
              </w:rPr>
              <w:t>积为22513</w:t>
            </w:r>
            <w:r>
              <w:rPr>
                <w:rFonts w:hint="eastAsia"/>
                <w:color w:val="000000" w:themeColor="text1"/>
                <w:spacing w:val="1"/>
                <w:sz w:val="24"/>
                <w:lang w:val="en-US" w:eastAsia="zh-CN"/>
              </w:rPr>
              <w:t>m</w:t>
            </w:r>
            <w:r>
              <w:rPr>
                <w:rFonts w:hint="eastAsia"/>
                <w:color w:val="000000" w:themeColor="text1"/>
                <w:spacing w:val="1"/>
                <w:sz w:val="24"/>
                <w:vertAlign w:val="superscript"/>
                <w:lang w:val="en-US" w:eastAsia="zh-CN"/>
              </w:rPr>
              <w:t>2</w:t>
            </w:r>
            <w:r>
              <w:rPr>
                <w:rFonts w:hint="eastAsia"/>
                <w:color w:val="000000" w:themeColor="text1"/>
                <w:spacing w:val="1"/>
                <w:sz w:val="24"/>
              </w:rPr>
              <w:t>。</w:t>
            </w:r>
            <w:r>
              <w:rPr>
                <w:rFonts w:hint="eastAsia"/>
                <w:spacing w:val="1"/>
                <w:sz w:val="24"/>
              </w:rPr>
              <w:t xml:space="preserve">                </w:t>
            </w:r>
          </w:p>
          <w:p w14:paraId="5F30B973">
            <w:pPr>
              <w:keepNext w:val="0"/>
              <w:keepLines w:val="0"/>
              <w:suppressLineNumbers w:val="0"/>
              <w:spacing w:before="0" w:beforeAutospacing="0" w:after="0" w:afterAutospacing="0" w:line="360" w:lineRule="auto"/>
              <w:ind w:left="0" w:right="0" w:firstLine="480" w:firstLineChars="200"/>
              <w:rPr>
                <w:sz w:val="24"/>
              </w:rPr>
            </w:pPr>
            <w:r>
              <w:rPr>
                <w:sz w:val="24"/>
              </w:rPr>
              <w:t>站址位置在整个光伏项目的西北角位置。升压站四周围墙采用2.5m高砖砌实体围墙，本站设置有三个大门，其中生活区为主大门，生产区为设备进出大门，储能站为设备进出大门，均采用钢制大门。</w:t>
            </w:r>
            <w:r>
              <w:rPr>
                <w:rFonts w:hint="eastAsia"/>
                <w:sz w:val="24"/>
              </w:rPr>
              <w:t>储能站位于项目区东南角。</w:t>
            </w:r>
            <w:r>
              <w:rPr>
                <w:sz w:val="24"/>
              </w:rPr>
              <w:t>站内主要建筑物与电气设备周围均设置环形道路，路宽4.0m，转弯半径9.0m，无任何遮挡，各建筑物之间、电气设备之间均满足规范要求。</w:t>
            </w:r>
          </w:p>
          <w:p w14:paraId="3C48AC96">
            <w:pPr>
              <w:keepNext w:val="0"/>
              <w:keepLines w:val="0"/>
              <w:suppressLineNumbers w:val="0"/>
              <w:spacing w:before="0" w:beforeAutospacing="0" w:after="0" w:afterAutospacing="0"/>
              <w:ind w:left="0" w:right="0"/>
              <w:rPr>
                <w:sz w:val="24"/>
              </w:rPr>
            </w:pPr>
            <w:r>
              <w:rPr>
                <w:rFonts w:hint="eastAsia"/>
                <w:sz w:val="24"/>
              </w:rPr>
              <w:t>2、220kV输电线路</w:t>
            </w:r>
          </w:p>
          <w:p w14:paraId="10775C02">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本工程</w:t>
            </w:r>
            <w:r>
              <w:rPr>
                <w:sz w:val="24"/>
              </w:rPr>
              <w:t>线路起于</w:t>
            </w:r>
            <w:r>
              <w:rPr>
                <w:rFonts w:hint="eastAsia"/>
                <w:sz w:val="24"/>
              </w:rPr>
              <w:t>京能吐鲁番市托克逊县产业园区低碳转型光伏项目220千伏</w:t>
            </w:r>
            <w:r>
              <w:rPr>
                <w:sz w:val="24"/>
              </w:rPr>
              <w:t>升压站至</w:t>
            </w:r>
            <w:r>
              <w:rPr>
                <w:rFonts w:hint="eastAsia"/>
                <w:sz w:val="24"/>
              </w:rPr>
              <w:t>京能吐鲁番市托克逊县产业园区低碳转型光伏项目220千伏升压站扩建间隔</w:t>
            </w:r>
            <w:r>
              <w:rPr>
                <w:sz w:val="24"/>
              </w:rPr>
              <w:t>，线路路径全长约</w:t>
            </w:r>
            <w:r>
              <w:rPr>
                <w:rFonts w:hint="eastAsia"/>
                <w:color w:val="000000" w:themeColor="text1"/>
                <w:sz w:val="24"/>
              </w:rPr>
              <w:t>7.84</w:t>
            </w:r>
            <w:r>
              <w:rPr>
                <w:color w:val="000000" w:themeColor="text1"/>
                <w:sz w:val="24"/>
              </w:rPr>
              <w:t>千米</w:t>
            </w:r>
            <w:r>
              <w:rPr>
                <w:rFonts w:hint="eastAsia"/>
                <w:color w:val="000000" w:themeColor="text1"/>
                <w:sz w:val="24"/>
              </w:rPr>
              <w:t>，共建设杆塔24基，为单回直线塔15基、单回转角塔8基、双回终端塔1基，线路长约7.84km,</w:t>
            </w:r>
            <w:r>
              <w:rPr>
                <w:rFonts w:hint="eastAsia"/>
                <w:sz w:val="24"/>
              </w:rPr>
              <w:t>因线路路径较短，现场地形单一。</w:t>
            </w:r>
          </w:p>
          <w:p w14:paraId="25ED23FB">
            <w:pPr>
              <w:keepNext w:val="0"/>
              <w:keepLines w:val="0"/>
              <w:numPr>
                <w:ilvl w:val="0"/>
                <w:numId w:val="5"/>
              </w:numPr>
              <w:suppressLineNumbers w:val="0"/>
              <w:spacing w:before="0" w:beforeAutospacing="0" w:after="0" w:afterAutospacing="0" w:line="360" w:lineRule="auto"/>
              <w:ind w:left="0" w:right="0"/>
              <w:rPr>
                <w:sz w:val="24"/>
              </w:rPr>
            </w:pPr>
            <w:r>
              <w:rPr>
                <w:rFonts w:hint="eastAsia"/>
                <w:sz w:val="24"/>
              </w:rPr>
              <w:t>库米什220kV变电站扩建间隔</w:t>
            </w:r>
          </w:p>
          <w:p w14:paraId="45F877FB">
            <w:pPr>
              <w:keepNext w:val="0"/>
              <w:keepLines w:val="0"/>
              <w:suppressLineNumbers w:val="0"/>
              <w:spacing w:before="0" w:beforeAutospacing="0" w:after="0" w:afterAutospacing="0" w:line="360" w:lineRule="auto"/>
              <w:ind w:left="0" w:right="0" w:firstLine="480" w:firstLineChars="200"/>
              <w:rPr>
                <w:color w:val="000000" w:themeColor="text1"/>
                <w:sz w:val="24"/>
              </w:rPr>
            </w:pPr>
            <w:r>
              <w:rPr>
                <w:sz w:val="24"/>
              </w:rPr>
              <w:t>220</w:t>
            </w:r>
            <w:r>
              <w:rPr>
                <w:rFonts w:hint="eastAsia"/>
                <w:sz w:val="24"/>
              </w:rPr>
              <w:t>kV库米什变电站位于吐鲁番市托克逊县，现有主变压器</w:t>
            </w:r>
            <w:r>
              <w:rPr>
                <w:sz w:val="24"/>
              </w:rPr>
              <w:t>2</w:t>
            </w:r>
            <w:r>
              <w:rPr>
                <w:rFonts w:hint="eastAsia"/>
                <w:sz w:val="24"/>
              </w:rPr>
              <w:t>台，规划并已建设</w:t>
            </w:r>
            <w:r>
              <w:rPr>
                <w:sz w:val="24"/>
              </w:rPr>
              <w:t>6</w:t>
            </w:r>
            <w:r>
              <w:rPr>
                <w:rFonts w:hint="eastAsia"/>
                <w:sz w:val="24"/>
              </w:rPr>
              <w:t>回</w:t>
            </w:r>
            <w:r>
              <w:rPr>
                <w:sz w:val="24"/>
              </w:rPr>
              <w:t>220</w:t>
            </w:r>
            <w:r>
              <w:rPr>
                <w:rFonts w:hint="eastAsia"/>
                <w:sz w:val="24"/>
              </w:rPr>
              <w:t>kV出线，无预留间隔。考虑本项目与库米什变电站相对位置关系及库米什变电站东西两侧扩建难度情况，</w:t>
            </w:r>
            <w:r>
              <w:rPr>
                <w:rFonts w:hint="eastAsia"/>
                <w:color w:val="000000" w:themeColor="text1"/>
                <w:sz w:val="24"/>
                <w:lang w:eastAsia="zh-CN"/>
              </w:rPr>
              <w:t>本次</w:t>
            </w:r>
            <w:r>
              <w:rPr>
                <w:rFonts w:hint="eastAsia"/>
                <w:color w:val="000000" w:themeColor="text1"/>
                <w:sz w:val="24"/>
              </w:rPr>
              <w:t>在库米什变电站</w:t>
            </w:r>
            <w:r>
              <w:rPr>
                <w:color w:val="000000" w:themeColor="text1"/>
                <w:sz w:val="24"/>
              </w:rPr>
              <w:t>220</w:t>
            </w:r>
            <w:r>
              <w:rPr>
                <w:rFonts w:hint="eastAsia"/>
                <w:color w:val="000000" w:themeColor="text1"/>
                <w:sz w:val="24"/>
              </w:rPr>
              <w:t>kV配电装置东侧破围墙扩建</w:t>
            </w:r>
            <w:r>
              <w:rPr>
                <w:color w:val="000000" w:themeColor="text1"/>
                <w:sz w:val="24"/>
              </w:rPr>
              <w:t>1</w:t>
            </w:r>
            <w:r>
              <w:rPr>
                <w:rFonts w:hint="eastAsia"/>
                <w:color w:val="000000" w:themeColor="text1"/>
                <w:sz w:val="24"/>
              </w:rPr>
              <w:t>回出线间隔，预留</w:t>
            </w:r>
            <w:r>
              <w:rPr>
                <w:color w:val="000000" w:themeColor="text1"/>
                <w:sz w:val="24"/>
              </w:rPr>
              <w:t>1</w:t>
            </w:r>
            <w:r>
              <w:rPr>
                <w:rFonts w:hint="eastAsia"/>
                <w:color w:val="000000" w:themeColor="text1"/>
                <w:sz w:val="24"/>
              </w:rPr>
              <w:t>回出线间隔位置，本工程占用扩建后自东向西第二回出线间隔</w:t>
            </w:r>
            <w:r>
              <w:rPr>
                <w:rFonts w:hint="eastAsia"/>
                <w:color w:val="000000" w:themeColor="text1"/>
                <w:sz w:val="24"/>
                <w:lang w:eastAsia="zh-CN"/>
              </w:rPr>
              <w:t>，扩建间隔占地</w:t>
            </w:r>
            <w:r>
              <w:rPr>
                <w:rFonts w:hint="eastAsia"/>
                <w:color w:val="000000" w:themeColor="text1"/>
                <w:sz w:val="24"/>
                <w:lang w:val="en-US" w:eastAsia="zh-CN"/>
              </w:rPr>
              <w:t>2310m</w:t>
            </w:r>
            <w:r>
              <w:rPr>
                <w:rFonts w:hint="eastAsia"/>
                <w:color w:val="000000" w:themeColor="text1"/>
                <w:sz w:val="24"/>
                <w:vertAlign w:val="superscript"/>
                <w:lang w:val="en-US" w:eastAsia="zh-CN"/>
              </w:rPr>
              <w:t>2</w:t>
            </w:r>
            <w:r>
              <w:rPr>
                <w:rFonts w:hint="eastAsia"/>
                <w:color w:val="000000" w:themeColor="text1"/>
                <w:sz w:val="24"/>
              </w:rPr>
              <w:t>。</w:t>
            </w:r>
          </w:p>
          <w:p w14:paraId="2A5B6D3D">
            <w:pPr>
              <w:pStyle w:val="27"/>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spacing w:before="157" w:beforeLines="50" w:beforeAutospacing="0" w:after="0" w:afterAutospacing="0"/>
              <w:ind w:left="0" w:right="0"/>
              <w:textAlignment w:val="baseline"/>
              <w:rPr>
                <w:b/>
                <w:bCs/>
              </w:rPr>
            </w:pPr>
            <w:r>
              <w:rPr>
                <w:rFonts w:hint="eastAsia"/>
                <w:b/>
                <w:bCs/>
              </w:rPr>
              <w:t>施工场地布置</w:t>
            </w:r>
          </w:p>
          <w:p w14:paraId="5EAFF261">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bCs/>
                <w:sz w:val="24"/>
              </w:rPr>
              <w:t>本项目</w:t>
            </w:r>
            <w:r>
              <w:rPr>
                <w:rFonts w:hAnsi="宋体"/>
                <w:bCs/>
                <w:sz w:val="24"/>
              </w:rPr>
              <w:t>设置1个施工临建场地，包括</w:t>
            </w:r>
            <w:r>
              <w:rPr>
                <w:rFonts w:hint="eastAsia" w:hAnsi="宋体"/>
                <w:bCs/>
                <w:sz w:val="24"/>
              </w:rPr>
              <w:t>：施工生活区和施工生产区。</w:t>
            </w:r>
            <w:r>
              <w:rPr>
                <w:rFonts w:hAnsi="宋体"/>
                <w:bCs/>
                <w:sz w:val="24"/>
              </w:rPr>
              <w:t>生产、生活设施布置在一起，形</w:t>
            </w:r>
            <w:r>
              <w:rPr>
                <w:rFonts w:hAnsi="宋体"/>
                <w:sz w:val="24"/>
              </w:rPr>
              <w:t>成一个集中的施工</w:t>
            </w:r>
            <w:r>
              <w:rPr>
                <w:rFonts w:hint="eastAsia" w:hAnsi="宋体"/>
                <w:sz w:val="24"/>
              </w:rPr>
              <w:t>、</w:t>
            </w:r>
            <w:r>
              <w:rPr>
                <w:rFonts w:hAnsi="宋体"/>
                <w:sz w:val="24"/>
              </w:rPr>
              <w:t>生活管理区。</w:t>
            </w:r>
          </w:p>
          <w:p w14:paraId="47530FC8">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（1）临时施工生产区</w:t>
            </w:r>
          </w:p>
          <w:p w14:paraId="28D4DD4A">
            <w:pPr>
              <w:pStyle w:val="7"/>
              <w:keepNext w:val="0"/>
              <w:keepLines w:val="0"/>
              <w:suppressLineNumbers w:val="0"/>
              <w:spacing w:before="0" w:beforeAutospacing="0" w:after="0" w:afterAutospacing="0" w:line="360" w:lineRule="auto"/>
              <w:ind w:left="0" w:right="0" w:firstLine="480" w:firstLineChars="200"/>
              <w:rPr>
                <w:rFonts w:ascii="宋体" w:hAnsi="宋体"/>
                <w:bCs/>
                <w:sz w:val="24"/>
                <w:szCs w:val="24"/>
              </w:rPr>
            </w:pPr>
            <w:r>
              <w:rPr>
                <w:rFonts w:ascii="宋体" w:hAnsi="宋体"/>
                <w:bCs/>
                <w:sz w:val="24"/>
                <w:szCs w:val="24"/>
              </w:rPr>
              <w:t>其中</w:t>
            </w:r>
            <w:r>
              <w:rPr>
                <w:rFonts w:hint="eastAsia" w:ascii="宋体" w:hAnsi="宋体"/>
                <w:bCs/>
                <w:sz w:val="24"/>
                <w:szCs w:val="24"/>
              </w:rPr>
              <w:t>施工生产区</w:t>
            </w:r>
            <w:r>
              <w:rPr>
                <w:rFonts w:ascii="宋体" w:hAnsi="宋体"/>
                <w:bCs/>
                <w:sz w:val="24"/>
                <w:szCs w:val="24"/>
              </w:rPr>
              <w:t>包括：</w:t>
            </w:r>
            <w:r>
              <w:rPr>
                <w:rFonts w:hint="eastAsia" w:ascii="宋体" w:hAnsi="宋体"/>
                <w:bCs/>
                <w:sz w:val="24"/>
                <w:szCs w:val="24"/>
              </w:rPr>
              <w:t>综合仓库、综合加工厂</w:t>
            </w:r>
            <w:r>
              <w:rPr>
                <w:rFonts w:hint="eastAsia" w:ascii="宋体" w:hAnsi="宋体" w:eastAsia="宋体"/>
                <w:bCs/>
                <w:sz w:val="24"/>
                <w:szCs w:val="24"/>
                <w:lang w:eastAsia="zh-CN"/>
              </w:rPr>
              <w:t>等</w:t>
            </w:r>
            <w:r>
              <w:rPr>
                <w:rFonts w:hint="eastAsia" w:ascii="宋体" w:hAnsi="宋体"/>
                <w:bCs/>
                <w:sz w:val="24"/>
                <w:szCs w:val="24"/>
              </w:rPr>
              <w:t>。</w:t>
            </w:r>
          </w:p>
          <w:p w14:paraId="4B9C5B6F">
            <w:pPr>
              <w:pStyle w:val="7"/>
              <w:keepNext w:val="0"/>
              <w:keepLines w:val="0"/>
              <w:suppressLineNumbers w:val="0"/>
              <w:spacing w:before="0" w:beforeAutospacing="0" w:after="0" w:afterAutospacing="0" w:line="360" w:lineRule="auto"/>
              <w:ind w:left="0" w:right="0" w:firstLine="480" w:firstLineChars="200"/>
              <w:rPr>
                <w:rFonts w:ascii="宋体" w:hAnsi="宋体"/>
                <w:bCs/>
                <w:sz w:val="24"/>
                <w:szCs w:val="24"/>
              </w:rPr>
            </w:pPr>
            <w:r>
              <w:rPr>
                <w:rFonts w:hint="eastAsia" w:ascii="宋体" w:hAnsi="宋体"/>
                <w:bCs/>
                <w:sz w:val="24"/>
                <w:szCs w:val="24"/>
              </w:rPr>
              <w:t>①</w:t>
            </w:r>
            <w:r>
              <w:rPr>
                <w:rFonts w:ascii="宋体" w:hAnsi="宋体"/>
                <w:bCs/>
                <w:sz w:val="24"/>
                <w:szCs w:val="24"/>
              </w:rPr>
              <w:t>混凝土系统：本项目不设置</w:t>
            </w:r>
            <w:r>
              <w:rPr>
                <w:rFonts w:hint="eastAsia" w:ascii="宋体" w:hAnsi="宋体" w:eastAsia="宋体"/>
                <w:bCs/>
                <w:sz w:val="24"/>
                <w:szCs w:val="24"/>
                <w:lang w:eastAsia="zh-CN"/>
              </w:rPr>
              <w:t>拌和站</w:t>
            </w:r>
            <w:r>
              <w:rPr>
                <w:rFonts w:ascii="宋体" w:hAnsi="宋体"/>
                <w:bCs/>
                <w:sz w:val="24"/>
                <w:szCs w:val="24"/>
              </w:rPr>
              <w:t>，采用商品混凝土。</w:t>
            </w:r>
          </w:p>
          <w:p w14:paraId="6504416E">
            <w:pPr>
              <w:pStyle w:val="7"/>
              <w:keepNext w:val="0"/>
              <w:keepLines w:val="0"/>
              <w:suppressLineNumbers w:val="0"/>
              <w:spacing w:before="0" w:beforeAutospacing="0" w:after="0" w:afterAutospacing="0" w:line="360" w:lineRule="auto"/>
              <w:ind w:left="0" w:right="0" w:firstLine="480" w:firstLineChars="200"/>
              <w:rPr>
                <w:rFonts w:ascii="宋体" w:hAnsi="宋体"/>
                <w:bCs/>
                <w:sz w:val="24"/>
                <w:szCs w:val="24"/>
              </w:rPr>
            </w:pPr>
            <w:r>
              <w:rPr>
                <w:rFonts w:hint="eastAsia" w:ascii="宋体" w:hAnsi="宋体"/>
                <w:bCs/>
                <w:sz w:val="24"/>
                <w:szCs w:val="24"/>
              </w:rPr>
              <w:t>②综合加工厂</w:t>
            </w:r>
            <w:r>
              <w:rPr>
                <w:rFonts w:ascii="宋体" w:hAnsi="宋体"/>
                <w:bCs/>
                <w:sz w:val="24"/>
                <w:szCs w:val="24"/>
              </w:rPr>
              <w:t>：集中布置在施工生产</w:t>
            </w:r>
            <w:r>
              <w:rPr>
                <w:rFonts w:hint="eastAsia" w:ascii="宋体" w:hAnsi="宋体"/>
                <w:bCs/>
                <w:sz w:val="24"/>
                <w:szCs w:val="24"/>
              </w:rPr>
              <w:t>区角落位置，</w:t>
            </w:r>
            <w:r>
              <w:rPr>
                <w:rFonts w:ascii="宋体" w:hAnsi="宋体"/>
                <w:bCs/>
                <w:sz w:val="24"/>
                <w:szCs w:val="24"/>
              </w:rPr>
              <w:t>钢筋加工内容主要为钢筋平直、切断、弯曲等。</w:t>
            </w:r>
            <w:r>
              <w:rPr>
                <w:rFonts w:hint="eastAsia" w:ascii="宋体" w:hAnsi="宋体"/>
                <w:bCs/>
                <w:sz w:val="24"/>
                <w:szCs w:val="24"/>
              </w:rPr>
              <w:t>其他材料加工</w:t>
            </w:r>
            <w:r>
              <w:rPr>
                <w:rFonts w:ascii="宋体" w:hAnsi="宋体"/>
                <w:bCs/>
                <w:sz w:val="24"/>
                <w:szCs w:val="24"/>
              </w:rPr>
              <w:t>主要承担工程所需少量异形模板加工等任务。</w:t>
            </w:r>
          </w:p>
          <w:p w14:paraId="1D7EAAB1">
            <w:pPr>
              <w:pStyle w:val="7"/>
              <w:keepNext w:val="0"/>
              <w:keepLines w:val="0"/>
              <w:suppressLineNumbers w:val="0"/>
              <w:spacing w:before="0" w:beforeAutospacing="0" w:after="0" w:afterAutospacing="0" w:line="360" w:lineRule="auto"/>
              <w:ind w:left="0" w:right="0" w:firstLine="480" w:firstLineChars="200"/>
              <w:rPr>
                <w:rFonts w:ascii="宋体" w:hAnsi="宋体"/>
                <w:bCs/>
                <w:sz w:val="24"/>
                <w:szCs w:val="24"/>
              </w:rPr>
            </w:pPr>
            <w:r>
              <w:rPr>
                <w:rFonts w:hint="eastAsia" w:ascii="宋体" w:hAnsi="宋体"/>
                <w:bCs/>
                <w:sz w:val="24"/>
                <w:szCs w:val="24"/>
              </w:rPr>
              <w:t>③综合仓库</w:t>
            </w:r>
            <w:r>
              <w:rPr>
                <w:rFonts w:ascii="宋体" w:hAnsi="宋体"/>
                <w:bCs/>
                <w:sz w:val="24"/>
                <w:szCs w:val="24"/>
              </w:rPr>
              <w:t>：主要设有</w:t>
            </w:r>
            <w:r>
              <w:rPr>
                <w:rFonts w:hint="eastAsia" w:ascii="宋体" w:hAnsi="宋体"/>
                <w:bCs/>
                <w:sz w:val="24"/>
                <w:szCs w:val="24"/>
              </w:rPr>
              <w:t>材料、设备仓储区，</w:t>
            </w:r>
            <w:r>
              <w:rPr>
                <w:rFonts w:ascii="宋体" w:hAnsi="宋体"/>
                <w:bCs/>
                <w:sz w:val="24"/>
                <w:szCs w:val="24"/>
              </w:rPr>
              <w:t>机械停放场及设备堆</w:t>
            </w:r>
            <w:r>
              <w:rPr>
                <w:rFonts w:hint="eastAsia" w:ascii="宋体" w:hAnsi="宋体"/>
                <w:bCs/>
                <w:sz w:val="24"/>
                <w:szCs w:val="24"/>
              </w:rPr>
              <w:t>放</w:t>
            </w:r>
            <w:r>
              <w:rPr>
                <w:rFonts w:ascii="宋体" w:hAnsi="宋体"/>
                <w:bCs/>
                <w:sz w:val="24"/>
                <w:szCs w:val="24"/>
              </w:rPr>
              <w:t>场。</w:t>
            </w:r>
          </w:p>
          <w:p w14:paraId="452CFB97">
            <w:pPr>
              <w:pStyle w:val="7"/>
              <w:keepNext w:val="0"/>
              <w:keepLines w:val="0"/>
              <w:suppressLineNumbers w:val="0"/>
              <w:spacing w:before="0" w:beforeAutospacing="0" w:after="0" w:afterAutospacing="0" w:line="360" w:lineRule="auto"/>
              <w:ind w:left="0" w:right="0" w:firstLine="480" w:firstLineChars="200"/>
            </w:pPr>
            <w:bookmarkStart w:id="1" w:name="9.2.3_施工管理及生活区布置"/>
            <w:bookmarkEnd w:id="1"/>
            <w:r>
              <w:rPr>
                <w:rFonts w:hint="eastAsia" w:ascii="宋体" w:hAnsi="宋体" w:eastAsia="宋体"/>
                <w:bCs/>
                <w:sz w:val="24"/>
                <w:szCs w:val="24"/>
                <w:lang w:eastAsia="zh-CN"/>
              </w:rPr>
              <w:t>④</w:t>
            </w:r>
            <w:r>
              <w:rPr>
                <w:rFonts w:hint="eastAsia" w:ascii="宋体" w:hAnsi="宋体"/>
                <w:bCs/>
                <w:sz w:val="24"/>
                <w:szCs w:val="24"/>
              </w:rPr>
              <w:t>临时</w:t>
            </w:r>
            <w:r>
              <w:rPr>
                <w:rFonts w:hint="eastAsia" w:ascii="宋体" w:hAnsi="宋体"/>
                <w:bCs/>
                <w:sz w:val="24"/>
                <w:szCs w:val="24"/>
                <w:lang w:eastAsia="zh-CN"/>
              </w:rPr>
              <w:t>堆</w:t>
            </w:r>
            <w:r>
              <w:rPr>
                <w:rFonts w:hint="eastAsia" w:ascii="宋体" w:hAnsi="宋体"/>
                <w:bCs/>
                <w:sz w:val="24"/>
                <w:szCs w:val="24"/>
              </w:rPr>
              <w:t>土场：根据施工方案及进度，本项目施工期设置</w:t>
            </w:r>
            <w:r>
              <w:rPr>
                <w:rFonts w:ascii="Times New Roman" w:hAnsi="Times New Roman" w:eastAsia="宋体" w:cs="Times New Roman"/>
                <w:bCs/>
                <w:sz w:val="24"/>
                <w:szCs w:val="24"/>
                <w:lang w:eastAsia="zh-CN"/>
              </w:rPr>
              <w:t>2</w:t>
            </w:r>
            <w:r>
              <w:rPr>
                <w:rFonts w:hint="eastAsia" w:ascii="宋体" w:hAnsi="宋体"/>
                <w:bCs/>
                <w:sz w:val="24"/>
                <w:szCs w:val="24"/>
              </w:rPr>
              <w:t>个临时</w:t>
            </w:r>
            <w:r>
              <w:rPr>
                <w:rFonts w:hint="eastAsia" w:ascii="宋体" w:hAnsi="宋体"/>
                <w:bCs/>
                <w:sz w:val="24"/>
                <w:szCs w:val="24"/>
                <w:lang w:eastAsia="zh-CN"/>
              </w:rPr>
              <w:t>堆</w:t>
            </w:r>
            <w:r>
              <w:rPr>
                <w:rFonts w:hint="eastAsia" w:ascii="宋体" w:hAnsi="宋体"/>
                <w:bCs/>
                <w:sz w:val="24"/>
                <w:szCs w:val="24"/>
              </w:rPr>
              <w:t>土场，临时</w:t>
            </w:r>
            <w:r>
              <w:rPr>
                <w:rFonts w:hint="eastAsia" w:ascii="宋体" w:hAnsi="宋体"/>
                <w:bCs/>
                <w:sz w:val="24"/>
                <w:szCs w:val="24"/>
                <w:lang w:eastAsia="zh-CN"/>
              </w:rPr>
              <w:t>堆</w:t>
            </w:r>
            <w:r>
              <w:rPr>
                <w:rFonts w:hint="eastAsia" w:ascii="宋体" w:hAnsi="宋体"/>
                <w:bCs/>
                <w:sz w:val="24"/>
                <w:szCs w:val="24"/>
              </w:rPr>
              <w:t>土场主要用于将施工</w:t>
            </w:r>
            <w:r>
              <w:rPr>
                <w:rFonts w:hint="eastAsia" w:ascii="宋体" w:hAnsi="宋体"/>
                <w:bCs/>
                <w:sz w:val="24"/>
                <w:szCs w:val="24"/>
                <w:lang w:eastAsia="zh-CN"/>
              </w:rPr>
              <w:t>土石方</w:t>
            </w:r>
            <w:r>
              <w:rPr>
                <w:rFonts w:hint="eastAsia" w:ascii="宋体" w:hAnsi="宋体"/>
                <w:bCs/>
                <w:sz w:val="24"/>
                <w:szCs w:val="24"/>
              </w:rPr>
              <w:t>进行临时集中堆存后综合利用。</w:t>
            </w:r>
          </w:p>
          <w:p w14:paraId="1EC571D7">
            <w:pPr>
              <w:pStyle w:val="7"/>
              <w:keepNext w:val="0"/>
              <w:keepLines w:val="0"/>
              <w:suppressLineNumbers w:val="0"/>
              <w:spacing w:before="0" w:beforeAutospacing="0" w:after="0" w:afterAutospacing="0" w:line="360" w:lineRule="auto"/>
              <w:ind w:left="0" w:right="0" w:firstLine="480" w:firstLineChars="200"/>
              <w:rPr>
                <w:rFonts w:ascii="宋体" w:hAnsi="宋体"/>
                <w:bCs/>
                <w:sz w:val="24"/>
                <w:szCs w:val="24"/>
              </w:rPr>
            </w:pPr>
            <w:r>
              <w:rPr>
                <w:rFonts w:hint="eastAsia" w:ascii="宋体" w:hAnsi="宋体"/>
                <w:bCs/>
                <w:sz w:val="24"/>
                <w:szCs w:val="24"/>
              </w:rPr>
              <w:t>（</w:t>
            </w:r>
            <w:r>
              <w:rPr>
                <w:rFonts w:hint="eastAsia" w:ascii="Times New Roman" w:hAnsi="Times New Roman" w:eastAsia="宋体" w:cs="Times New Roman"/>
                <w:bCs/>
                <w:sz w:val="24"/>
                <w:szCs w:val="24"/>
                <w:lang w:eastAsia="zh-CN"/>
              </w:rPr>
              <w:t>2</w:t>
            </w:r>
            <w:r>
              <w:rPr>
                <w:rFonts w:hint="eastAsia" w:ascii="宋体" w:hAnsi="宋体"/>
                <w:bCs/>
                <w:sz w:val="24"/>
                <w:szCs w:val="24"/>
              </w:rPr>
              <w:t>）临时施工生活区</w:t>
            </w:r>
          </w:p>
          <w:p w14:paraId="219CE9D5">
            <w:pPr>
              <w:pStyle w:val="7"/>
              <w:keepNext w:val="0"/>
              <w:keepLines w:val="0"/>
              <w:suppressLineNumbers w:val="0"/>
              <w:spacing w:before="0" w:beforeAutospacing="0" w:after="0" w:afterAutospacing="0" w:line="360" w:lineRule="auto"/>
              <w:ind w:left="0" w:right="0" w:firstLine="480" w:firstLineChars="200"/>
              <w:rPr>
                <w:rFonts w:ascii="宋体" w:hAnsi="宋体" w:eastAsia="宋体" w:cs="Times New Roman"/>
                <w:bCs/>
                <w:sz w:val="24"/>
                <w:szCs w:val="24"/>
              </w:rPr>
            </w:pPr>
            <w:r>
              <w:rPr>
                <w:rFonts w:hint="eastAsia" w:ascii="宋体" w:hAnsi="宋体" w:eastAsia="宋体" w:cs="Times New Roman"/>
                <w:bCs/>
                <w:sz w:val="24"/>
                <w:szCs w:val="24"/>
              </w:rPr>
              <w:t>主要设置办公区及宿舍，并设置移动环保厕所</w:t>
            </w:r>
            <w:r>
              <w:rPr>
                <w:rFonts w:hint="eastAsia" w:ascii="Times New Roman" w:hAnsi="Times New Roman" w:eastAsia="宋体" w:cs="Times New Roman"/>
                <w:bCs/>
                <w:sz w:val="24"/>
                <w:szCs w:val="24"/>
                <w:lang w:eastAsia="zh-CN"/>
              </w:rPr>
              <w:t>1</w:t>
            </w:r>
            <w:r>
              <w:rPr>
                <w:rFonts w:hint="eastAsia" w:ascii="宋体" w:hAnsi="宋体" w:eastAsia="宋体" w:cs="Times New Roman"/>
                <w:bCs/>
                <w:sz w:val="24"/>
                <w:szCs w:val="24"/>
              </w:rPr>
              <w:t>座。</w:t>
            </w:r>
          </w:p>
          <w:p w14:paraId="24E90F96">
            <w:pPr>
              <w:pStyle w:val="7"/>
              <w:keepNext w:val="0"/>
              <w:keepLines w:val="0"/>
              <w:suppressLineNumbers w:val="0"/>
              <w:spacing w:before="0" w:beforeAutospacing="0" w:after="0" w:afterAutospacing="0" w:line="360" w:lineRule="auto"/>
              <w:ind w:left="0" w:right="0" w:firstLine="480" w:firstLineChars="200"/>
              <w:rPr>
                <w:rFonts w:ascii="宋体" w:hAnsi="宋体" w:eastAsia="宋体" w:cs="Times New Roman"/>
                <w:bCs/>
                <w:sz w:val="24"/>
                <w:szCs w:val="24"/>
              </w:rPr>
            </w:pPr>
            <w:r>
              <w:rPr>
                <w:rFonts w:hint="eastAsia" w:ascii="宋体" w:hAnsi="宋体" w:eastAsia="宋体" w:cs="Times New Roman"/>
                <w:bCs/>
                <w:sz w:val="24"/>
                <w:szCs w:val="24"/>
              </w:rPr>
              <w:t>施工临建总平面布置详见图</w:t>
            </w:r>
            <w:r>
              <w:rPr>
                <w:rFonts w:hint="eastAsia" w:ascii="Times New Roman" w:hAnsi="Times New Roman" w:eastAsia="宋体" w:cs="Times New Roman"/>
                <w:bCs/>
                <w:sz w:val="24"/>
                <w:szCs w:val="24"/>
                <w:lang w:eastAsia="zh-CN"/>
              </w:rPr>
              <w:t>2-1</w:t>
            </w:r>
            <w:r>
              <w:rPr>
                <w:rFonts w:hint="eastAsia" w:ascii="宋体" w:hAnsi="宋体" w:eastAsia="宋体" w:cs="Times New Roman"/>
                <w:bCs/>
                <w:sz w:val="24"/>
                <w:szCs w:val="24"/>
              </w:rPr>
              <w:t>施工总布置图。</w:t>
            </w:r>
          </w:p>
          <w:p w14:paraId="294439DA">
            <w:pPr>
              <w:pStyle w:val="8"/>
              <w:keepNext w:val="0"/>
              <w:keepLines w:val="0"/>
              <w:numPr>
                <w:ilvl w:val="0"/>
                <w:numId w:val="0"/>
              </w:numPr>
              <w:suppressLineNumbers w:val="0"/>
              <w:spacing w:before="0" w:beforeAutospacing="0" w:after="0" w:afterAutospacing="0"/>
              <w:ind w:left="0" w:right="0"/>
              <w:jc w:val="center"/>
            </w:pPr>
            <w:r>
              <w:drawing>
                <wp:inline distT="0" distB="0" distL="114300" distR="114300">
                  <wp:extent cx="5503545" cy="4166235"/>
                  <wp:effectExtent l="0" t="0" r="0" b="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11" cstate="print"/>
                          <a:srcRect t="4830"/>
                          <a:stretch>
                            <a:fillRect/>
                          </a:stretch>
                        </pic:blipFill>
                        <pic:spPr>
                          <a:xfrm>
                            <a:off x="0" y="0"/>
                            <a:ext cx="5503545" cy="4166235"/>
                          </a:xfrm>
                          <a:prstGeom prst="rect">
                            <a:avLst/>
                          </a:prstGeom>
                          <a:noFill/>
                          <a:ln>
                            <a:noFill/>
                          </a:ln>
                        </pic:spPr>
                      </pic:pic>
                    </a:graphicData>
                  </a:graphic>
                </wp:inline>
              </w:drawing>
            </w:r>
          </w:p>
          <w:p w14:paraId="5B536131">
            <w:pPr>
              <w:pStyle w:val="8"/>
              <w:keepNext w:val="0"/>
              <w:keepLines w:val="0"/>
              <w:numPr>
                <w:ilvl w:val="0"/>
                <w:numId w:val="0"/>
              </w:numPr>
              <w:suppressLineNumbers w:val="0"/>
              <w:spacing w:before="0" w:beforeAutospacing="0" w:after="0" w:afterAutospacing="0"/>
              <w:ind w:left="0" w:right="0"/>
              <w:jc w:val="center"/>
            </w:pPr>
            <w:r>
              <w:rPr>
                <w:rFonts w:hint="eastAsia" w:ascii="宋体" w:hAnsi="宋体"/>
                <w:b/>
                <w:sz w:val="21"/>
                <w:szCs w:val="21"/>
              </w:rPr>
              <w:t>图</w:t>
            </w:r>
            <w:r>
              <w:rPr>
                <w:b/>
                <w:sz w:val="21"/>
                <w:szCs w:val="21"/>
              </w:rPr>
              <w:t>2-1</w:t>
            </w:r>
            <w:r>
              <w:rPr>
                <w:rFonts w:hint="eastAsia" w:ascii="宋体" w:hAnsi="宋体"/>
                <w:b/>
                <w:sz w:val="21"/>
                <w:szCs w:val="21"/>
              </w:rPr>
              <w:t xml:space="preserve">   施工总布置图</w:t>
            </w:r>
          </w:p>
        </w:tc>
      </w:tr>
      <w:tr w14:paraId="7C5C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708" w:type="dxa"/>
            <w:vAlign w:val="center"/>
          </w:tcPr>
          <w:p w14:paraId="7AAA7263">
            <w:pPr>
              <w:pStyle w:val="4"/>
              <w:keepNext w:val="0"/>
              <w:numPr>
                <w:ilvl w:val="2"/>
                <w:numId w:val="0"/>
              </w:numPr>
              <w:suppressLineNumbers w:val="0"/>
              <w:tabs>
                <w:tab w:val="clear" w:pos="720"/>
              </w:tabs>
              <w:spacing w:before="0" w:beforeAutospacing="0" w:after="0" w:afterAutospacing="0"/>
              <w:ind w:left="0" w:right="0"/>
              <w:outlineLvl w:val="2"/>
              <w:rPr>
                <w:sz w:val="24"/>
                <w:szCs w:val="24"/>
              </w:rPr>
            </w:pPr>
            <w:r>
              <w:rPr>
                <w:rFonts w:hint="eastAsia"/>
                <w:sz w:val="24"/>
                <w:szCs w:val="24"/>
              </w:rPr>
              <w:t>施工方案</w:t>
            </w:r>
          </w:p>
        </w:tc>
        <w:tc>
          <w:tcPr>
            <w:tcW w:w="8842" w:type="dxa"/>
          </w:tcPr>
          <w:p w14:paraId="1A191BD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ascii="宋体" w:hAnsi="宋体" w:cs="宋体"/>
                <w:b/>
                <w:bCs/>
                <w:color w:val="000000"/>
                <w:kern w:val="0"/>
                <w:sz w:val="24"/>
              </w:rPr>
            </w:pPr>
            <w:r>
              <w:rPr>
                <w:rFonts w:hint="eastAsia" w:ascii="宋体" w:hAnsi="宋体" w:cs="宋体"/>
                <w:b/>
                <w:bCs/>
                <w:color w:val="000000"/>
                <w:kern w:val="0"/>
                <w:sz w:val="24"/>
              </w:rPr>
              <w:t>一、施工组织设计</w:t>
            </w:r>
          </w:p>
          <w:p w14:paraId="3E7F96FF">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施工水源：</w:t>
            </w:r>
            <w:r>
              <w:rPr>
                <w:rFonts w:hint="eastAsia"/>
                <w:sz w:val="24"/>
              </w:rPr>
              <w:t>本项目用水采取市政供水管线接引至本项目区，以满足本项目用水需求</w:t>
            </w:r>
            <w:r>
              <w:rPr>
                <w:rFonts w:hint="eastAsia" w:hAnsi="宋体"/>
                <w:sz w:val="24"/>
              </w:rPr>
              <w:t>。</w:t>
            </w:r>
          </w:p>
          <w:p w14:paraId="54CF804A">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施工电源：本项目施工期采用就近接入10kV线路满足生产及生活用电。</w:t>
            </w:r>
          </w:p>
          <w:p w14:paraId="6F4E29E0">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施工修配和加工系统：加工、修配及租用吊车等业务外委，施工区不设置修配系统。</w:t>
            </w:r>
          </w:p>
          <w:p w14:paraId="3F59B693">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临时工程：本项目不设取、弃土场，混凝土拌和站。</w:t>
            </w:r>
          </w:p>
          <w:p w14:paraId="18262289">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原材料：钢筋、木材、砂石料等建筑材料均可在附近购买，本项目采用商品混凝土，商品混凝土从托克逊县进行购买。混凝土直接外购后通过自卸汽车运输至本项目区，用混凝土泵车浇筑。</w:t>
            </w:r>
          </w:p>
          <w:p w14:paraId="5C03F001">
            <w:pPr>
              <w:pStyle w:val="27"/>
              <w:keepNext w:val="0"/>
              <w:keepLines w:val="0"/>
              <w:suppressLineNumbers w:val="0"/>
              <w:spacing w:before="0" w:beforeAutospacing="0" w:after="0" w:afterAutospacing="0" w:line="360" w:lineRule="auto"/>
              <w:ind w:left="0" w:right="0"/>
              <w:rPr>
                <w:b/>
                <w:bCs/>
              </w:rPr>
            </w:pPr>
            <w:r>
              <w:rPr>
                <w:rFonts w:hint="eastAsia" w:hAnsi="宋体"/>
                <w:b/>
                <w:bCs/>
                <w:color w:val="auto"/>
              </w:rPr>
              <w:t>二、施工工艺及产污环节</w:t>
            </w:r>
          </w:p>
          <w:p w14:paraId="680C4FDA">
            <w:pPr>
              <w:keepNext w:val="0"/>
              <w:keepLines w:val="0"/>
              <w:suppressLineNumbers w:val="0"/>
              <w:spacing w:before="0" w:beforeAutospacing="0" w:after="0" w:afterAutospacing="0" w:line="360" w:lineRule="auto"/>
              <w:ind w:left="0" w:right="0"/>
              <w:rPr>
                <w:b/>
                <w:bCs/>
                <w:sz w:val="24"/>
              </w:rPr>
            </w:pPr>
            <w:r>
              <w:rPr>
                <w:rFonts w:hint="eastAsia"/>
                <w:b/>
                <w:bCs/>
                <w:sz w:val="24"/>
              </w:rPr>
              <w:t>1、220kV升压站</w:t>
            </w:r>
          </w:p>
          <w:p w14:paraId="55A1C870">
            <w:pPr>
              <w:keepNext w:val="0"/>
              <w:keepLines w:val="0"/>
              <w:suppressLineNumbers w:val="0"/>
              <w:spacing w:before="0" w:beforeAutospacing="0" w:after="0" w:afterAutospacing="0" w:line="360" w:lineRule="auto"/>
              <w:ind w:left="0" w:right="0" w:firstLine="480" w:firstLineChars="200"/>
              <w:rPr>
                <w:sz w:val="24"/>
              </w:rPr>
            </w:pPr>
            <w:r>
              <w:rPr>
                <w:sz w:val="24"/>
              </w:rPr>
              <w:t>升压站的建筑施工采用常规方法进行，先进行场地平整，之后进行主体工程的基础施工，包括</w:t>
            </w:r>
            <w:r>
              <w:rPr>
                <w:rFonts w:hint="eastAsia"/>
                <w:sz w:val="24"/>
              </w:rPr>
              <w:t>生活区（综合用房、警卫室）</w:t>
            </w:r>
            <w:r>
              <w:rPr>
                <w:sz w:val="24"/>
              </w:rPr>
              <w:t>、主变基础、SVG基础、站区道路等，基础施工完成后，进行电气设备安装、线路及配套电缆的敷设和对接等，施工完成后对基础进行防护，工程竣工后进行工程验收，最后投入运营。升压站施工工艺流程见下</w:t>
            </w:r>
            <w:r>
              <w:rPr>
                <w:rFonts w:hint="eastAsia"/>
                <w:sz w:val="24"/>
              </w:rPr>
              <w:t>图：</w:t>
            </w:r>
          </w:p>
          <w:p w14:paraId="0B065E3A">
            <w:pPr>
              <w:keepNext w:val="0"/>
              <w:keepLines w:val="0"/>
              <w:suppressLineNumbers w:val="0"/>
              <w:spacing w:before="0" w:beforeAutospacing="0" w:after="0" w:afterAutospacing="0" w:line="360" w:lineRule="auto"/>
              <w:ind w:left="0" w:right="0"/>
            </w:pPr>
            <w:r>
              <w:drawing>
                <wp:inline distT="0" distB="0" distL="114300" distR="114300">
                  <wp:extent cx="5352415" cy="1762125"/>
                  <wp:effectExtent l="0" t="0" r="63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cstate="print"/>
                          <a:stretch>
                            <a:fillRect/>
                          </a:stretch>
                        </pic:blipFill>
                        <pic:spPr>
                          <a:xfrm>
                            <a:off x="0" y="0"/>
                            <a:ext cx="5352415" cy="1762125"/>
                          </a:xfrm>
                          <a:prstGeom prst="rect">
                            <a:avLst/>
                          </a:prstGeom>
                          <a:noFill/>
                          <a:ln>
                            <a:noFill/>
                          </a:ln>
                        </pic:spPr>
                      </pic:pic>
                    </a:graphicData>
                  </a:graphic>
                </wp:inline>
              </w:drawing>
            </w:r>
          </w:p>
          <w:p w14:paraId="60197205">
            <w:pPr>
              <w:keepNext w:val="0"/>
              <w:keepLines w:val="0"/>
              <w:suppressLineNumbers w:val="0"/>
              <w:spacing w:before="0" w:beforeAutospacing="0" w:after="0" w:afterAutospacing="0" w:line="360" w:lineRule="auto"/>
              <w:ind w:left="0" w:right="0"/>
              <w:jc w:val="center"/>
              <w:rPr>
                <w:b/>
                <w:bCs/>
                <w:sz w:val="21"/>
                <w:szCs w:val="21"/>
              </w:rPr>
            </w:pPr>
            <w:r>
              <w:rPr>
                <w:rFonts w:hint="eastAsia"/>
                <w:b/>
                <w:bCs/>
                <w:sz w:val="21"/>
                <w:szCs w:val="21"/>
              </w:rPr>
              <w:t>图2-2   220kV升压站建设施工工艺流程图</w:t>
            </w:r>
          </w:p>
          <w:p w14:paraId="2E47001C">
            <w:pPr>
              <w:pStyle w:val="27"/>
              <w:keepNext w:val="0"/>
              <w:keepLines w:val="0"/>
              <w:suppressLineNumbers w:val="0"/>
              <w:spacing w:before="0" w:beforeAutospacing="0" w:after="0" w:afterAutospacing="0"/>
              <w:ind w:left="0" w:right="0"/>
              <w:rPr>
                <w:b/>
                <w:bCs/>
              </w:rPr>
            </w:pPr>
            <w:r>
              <w:rPr>
                <w:rFonts w:hint="eastAsia" w:ascii="Times New Roman" w:hAnsi="Times New Roman"/>
                <w:b/>
                <w:bCs/>
              </w:rPr>
              <w:t>2</w:t>
            </w:r>
            <w:r>
              <w:rPr>
                <w:rFonts w:hint="eastAsia"/>
                <w:b/>
                <w:bCs/>
              </w:rPr>
              <w:t>、</w:t>
            </w:r>
            <w:r>
              <w:rPr>
                <w:rFonts w:ascii="Times New Roman" w:hAnsi="Times New Roman"/>
                <w:b/>
                <w:bCs/>
              </w:rPr>
              <w:t>220kV</w:t>
            </w:r>
            <w:r>
              <w:rPr>
                <w:rFonts w:hint="eastAsia"/>
                <w:b/>
                <w:bCs/>
              </w:rPr>
              <w:t>输电线路</w:t>
            </w:r>
          </w:p>
          <w:p w14:paraId="4B55610F">
            <w:pPr>
              <w:keepNext w:val="0"/>
              <w:keepLines w:val="0"/>
              <w:numPr>
                <w:ilvl w:val="0"/>
                <w:numId w:val="6"/>
              </w:numPr>
              <w:suppressLineNumbers w:val="0"/>
              <w:spacing w:before="0" w:beforeAutospacing="0" w:after="0" w:afterAutospacing="0" w:line="360" w:lineRule="auto"/>
              <w:ind w:left="0" w:right="0" w:firstLine="480" w:firstLineChars="200"/>
              <w:rPr>
                <w:rFonts w:hAnsi="宋体"/>
                <w:sz w:val="24"/>
              </w:rPr>
            </w:pPr>
            <w:r>
              <w:rPr>
                <w:rFonts w:hint="eastAsia" w:hAnsi="宋体"/>
                <w:sz w:val="24"/>
              </w:rPr>
              <w:t>基础工程施工：基础的开挖要在分坑的中心上，要准确无误，开挖的位置要准确，基坑的开口直径，坑深要掌握清楚。基坑开挖前要清理基面，保证基面的平整和高差的统一，保证基坑壁及基坑的垂直、大小尺寸要符合设计要求。</w:t>
            </w:r>
          </w:p>
          <w:p w14:paraId="684CD1D6">
            <w:pPr>
              <w:keepNext w:val="0"/>
              <w:keepLines w:val="0"/>
              <w:numPr>
                <w:ilvl w:val="0"/>
                <w:numId w:val="6"/>
              </w:numPr>
              <w:suppressLineNumbers w:val="0"/>
              <w:spacing w:before="0" w:beforeAutospacing="0" w:after="0" w:afterAutospacing="0" w:line="360" w:lineRule="auto"/>
              <w:ind w:left="0" w:right="0" w:firstLine="480" w:firstLineChars="200"/>
              <w:rPr>
                <w:rFonts w:hAnsi="宋体"/>
                <w:sz w:val="24"/>
              </w:rPr>
            </w:pPr>
            <w:r>
              <w:rPr>
                <w:rFonts w:hint="eastAsia" w:hAnsi="宋体"/>
                <w:sz w:val="24"/>
              </w:rPr>
              <w:t>铁塔工程施工：本工程全线交通条件较差，修路后，全部铁塔采用吊车组立。</w:t>
            </w:r>
          </w:p>
          <w:p w14:paraId="76B20505">
            <w:pPr>
              <w:keepNext w:val="0"/>
              <w:keepLines w:val="0"/>
              <w:numPr>
                <w:ilvl w:val="0"/>
                <w:numId w:val="6"/>
              </w:numPr>
              <w:suppressLineNumbers w:val="0"/>
              <w:spacing w:before="0" w:beforeAutospacing="0" w:after="0" w:afterAutospacing="0" w:line="360" w:lineRule="auto"/>
              <w:ind w:left="0" w:right="0" w:firstLine="480" w:firstLineChars="200"/>
              <w:rPr>
                <w:rFonts w:hAnsi="宋体"/>
                <w:sz w:val="24"/>
              </w:rPr>
            </w:pPr>
            <w:r>
              <w:rPr>
                <w:rFonts w:hint="eastAsia" w:hAnsi="宋体"/>
                <w:sz w:val="24"/>
              </w:rPr>
              <w:t xml:space="preserve">架线工程施工：本工程线路地形为平地。牵引场规模按照 </w:t>
            </w:r>
            <w:r>
              <w:rPr>
                <w:rFonts w:hAnsi="宋体"/>
                <w:sz w:val="24"/>
              </w:rPr>
              <w:t xml:space="preserve">40m×30m </w:t>
            </w:r>
            <w:r>
              <w:rPr>
                <w:rFonts w:hint="eastAsia" w:hAnsi="宋体"/>
                <w:sz w:val="24"/>
              </w:rPr>
              <w:t>考虑，张力场规模按照</w:t>
            </w:r>
            <w:r>
              <w:rPr>
                <w:rFonts w:hAnsi="宋体"/>
                <w:sz w:val="24"/>
              </w:rPr>
              <w:t>45m×40m</w:t>
            </w:r>
            <w:r>
              <w:rPr>
                <w:rFonts w:hint="eastAsia" w:hAnsi="宋体"/>
                <w:sz w:val="24"/>
              </w:rPr>
              <w:t>考虑，预计放线区段为</w:t>
            </w:r>
            <w:r>
              <w:rPr>
                <w:rFonts w:hAnsi="宋体"/>
                <w:sz w:val="24"/>
              </w:rPr>
              <w:t>8</w:t>
            </w:r>
            <w:r>
              <w:rPr>
                <w:rFonts w:hint="eastAsia" w:hAnsi="宋体"/>
                <w:sz w:val="24"/>
              </w:rPr>
              <w:t>个，放线长度平均约为</w:t>
            </w:r>
            <w:r>
              <w:rPr>
                <w:rFonts w:hAnsi="宋体"/>
                <w:sz w:val="24"/>
              </w:rPr>
              <w:t>5km</w:t>
            </w:r>
            <w:r>
              <w:rPr>
                <w:rFonts w:hint="eastAsia" w:hAnsi="宋体"/>
                <w:sz w:val="24"/>
              </w:rPr>
              <w:t>，初选牵引场</w:t>
            </w:r>
            <w:r>
              <w:rPr>
                <w:rFonts w:hAnsi="宋体"/>
                <w:sz w:val="24"/>
              </w:rPr>
              <w:t>8</w:t>
            </w:r>
            <w:r>
              <w:rPr>
                <w:rFonts w:hint="eastAsia" w:hAnsi="宋体"/>
                <w:sz w:val="24"/>
              </w:rPr>
              <w:t>个，张力场</w:t>
            </w:r>
            <w:r>
              <w:rPr>
                <w:rFonts w:hAnsi="宋体"/>
                <w:sz w:val="24"/>
              </w:rPr>
              <w:t>4</w:t>
            </w:r>
            <w:r>
              <w:rPr>
                <w:rFonts w:hint="eastAsia" w:hAnsi="宋体"/>
                <w:sz w:val="24"/>
              </w:rPr>
              <w:t>个。张力放线采用</w:t>
            </w:r>
            <w:r>
              <w:rPr>
                <w:rFonts w:hAnsi="宋体"/>
                <w:sz w:val="24"/>
              </w:rPr>
              <w:t>2×40kN</w:t>
            </w:r>
            <w:r>
              <w:rPr>
                <w:rFonts w:hint="eastAsia" w:hAnsi="宋体"/>
                <w:sz w:val="24"/>
              </w:rPr>
              <w:t>张力机、</w:t>
            </w:r>
            <w:r>
              <w:rPr>
                <w:rFonts w:hAnsi="宋体"/>
                <w:sz w:val="24"/>
              </w:rPr>
              <w:t>90kN</w:t>
            </w:r>
            <w:r>
              <w:rPr>
                <w:rFonts w:hint="eastAsia" w:hAnsi="宋体"/>
                <w:sz w:val="24"/>
              </w:rPr>
              <w:t>牵引机，采用</w:t>
            </w:r>
            <w:r>
              <w:rPr>
                <w:rFonts w:hAnsi="宋体"/>
                <w:sz w:val="24"/>
              </w:rPr>
              <w:t>“</w:t>
            </w:r>
            <w:r>
              <w:rPr>
                <w:rFonts w:hint="eastAsia" w:hAnsi="宋体"/>
                <w:sz w:val="24"/>
              </w:rPr>
              <w:t>一牵二</w:t>
            </w:r>
            <w:r>
              <w:rPr>
                <w:rFonts w:hAnsi="宋体"/>
                <w:sz w:val="24"/>
              </w:rPr>
              <w:t>”</w:t>
            </w:r>
            <w:r>
              <w:rPr>
                <w:rFonts w:hint="eastAsia" w:hAnsi="宋体"/>
                <w:sz w:val="24"/>
              </w:rPr>
              <w:t>张力展放导线；用</w:t>
            </w:r>
            <w:r>
              <w:rPr>
                <w:rFonts w:hAnsi="宋体"/>
                <w:sz w:val="24"/>
              </w:rPr>
              <w:t>30kN</w:t>
            </w:r>
            <w:r>
              <w:rPr>
                <w:rFonts w:hint="eastAsia" w:hAnsi="宋体"/>
                <w:sz w:val="24"/>
              </w:rPr>
              <w:t>小张力机、</w:t>
            </w:r>
            <w:r>
              <w:rPr>
                <w:rFonts w:hAnsi="宋体"/>
                <w:sz w:val="24"/>
              </w:rPr>
              <w:t>40kN</w:t>
            </w:r>
            <w:r>
              <w:rPr>
                <w:rFonts w:hint="eastAsia" w:hAnsi="宋体"/>
                <w:sz w:val="24"/>
              </w:rPr>
              <w:t>小牵引机采用</w:t>
            </w:r>
            <w:r>
              <w:rPr>
                <w:rFonts w:hAnsi="宋体"/>
                <w:sz w:val="24"/>
              </w:rPr>
              <w:t>“</w:t>
            </w:r>
            <w:r>
              <w:rPr>
                <w:rFonts w:hint="eastAsia" w:hAnsi="宋体"/>
                <w:sz w:val="24"/>
              </w:rPr>
              <w:t>一牵一</w:t>
            </w:r>
            <w:r>
              <w:rPr>
                <w:rFonts w:hAnsi="宋体"/>
                <w:sz w:val="24"/>
              </w:rPr>
              <w:t>”</w:t>
            </w:r>
            <w:r>
              <w:rPr>
                <w:rFonts w:hint="eastAsia" w:hAnsi="宋体"/>
                <w:sz w:val="24"/>
              </w:rPr>
              <w:t>张力展放地线，导地线连接采用57t、2</w:t>
            </w:r>
            <w:r>
              <w:rPr>
                <w:rFonts w:hAnsi="宋体"/>
                <w:sz w:val="24"/>
              </w:rPr>
              <w:t>00t</w:t>
            </w:r>
            <w:r>
              <w:rPr>
                <w:rFonts w:hint="eastAsia" w:hAnsi="宋体"/>
                <w:sz w:val="24"/>
              </w:rPr>
              <w:t>液压机压接。</w:t>
            </w:r>
          </w:p>
          <w:p w14:paraId="16E27EE6">
            <w:pPr>
              <w:keepNext w:val="0"/>
              <w:keepLines w:val="0"/>
              <w:numPr>
                <w:ilvl w:val="0"/>
                <w:numId w:val="6"/>
              </w:numPr>
              <w:suppressLineNumbers w:val="0"/>
              <w:spacing w:before="0" w:beforeAutospacing="0" w:after="0" w:afterAutospacing="0" w:line="360" w:lineRule="auto"/>
              <w:ind w:left="0" w:right="0" w:firstLine="480" w:firstLineChars="200"/>
              <w:rPr>
                <w:rFonts w:hAnsi="宋体"/>
                <w:sz w:val="24"/>
              </w:rPr>
            </w:pPr>
            <w:r>
              <w:rPr>
                <w:rFonts w:hint="eastAsia" w:hAnsi="宋体"/>
                <w:sz w:val="24"/>
              </w:rPr>
              <w:t>接地施工：本工程接地槽平地均推荐采用挖掘推土机，施工效率高，租赁方便，成本低廉。</w:t>
            </w:r>
          </w:p>
          <w:p w14:paraId="520D0A31">
            <w:pPr>
              <w:pStyle w:val="27"/>
              <w:keepNext w:val="0"/>
              <w:keepLines w:val="0"/>
              <w:suppressLineNumbers w:val="0"/>
              <w:spacing w:before="0" w:beforeAutospacing="0" w:after="0" w:afterAutospacing="0"/>
              <w:ind w:left="0" w:right="0"/>
            </w:pPr>
            <w:r>
              <w:drawing>
                <wp:inline distT="0" distB="0" distL="114300" distR="114300">
                  <wp:extent cx="5501005" cy="1296670"/>
                  <wp:effectExtent l="0" t="0" r="4445" b="177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cstate="print"/>
                          <a:stretch>
                            <a:fillRect/>
                          </a:stretch>
                        </pic:blipFill>
                        <pic:spPr>
                          <a:xfrm>
                            <a:off x="0" y="0"/>
                            <a:ext cx="5501005" cy="1296670"/>
                          </a:xfrm>
                          <a:prstGeom prst="rect">
                            <a:avLst/>
                          </a:prstGeom>
                          <a:noFill/>
                          <a:ln>
                            <a:noFill/>
                          </a:ln>
                        </pic:spPr>
                      </pic:pic>
                    </a:graphicData>
                  </a:graphic>
                </wp:inline>
              </w:drawing>
            </w:r>
          </w:p>
          <w:p w14:paraId="26AF5544">
            <w:pPr>
              <w:keepNext w:val="0"/>
              <w:keepLines w:val="0"/>
              <w:suppressLineNumbers w:val="0"/>
              <w:spacing w:before="0" w:beforeAutospacing="0" w:after="0" w:afterAutospacing="0" w:line="360" w:lineRule="auto"/>
              <w:ind w:left="0" w:right="0"/>
              <w:jc w:val="center"/>
              <w:rPr>
                <w:rFonts w:hint="eastAsia"/>
                <w:b/>
                <w:bCs/>
                <w:sz w:val="24"/>
              </w:rPr>
            </w:pPr>
            <w:r>
              <w:rPr>
                <w:rFonts w:hint="eastAsia"/>
                <w:b/>
                <w:bCs/>
                <w:sz w:val="21"/>
                <w:szCs w:val="21"/>
              </w:rPr>
              <w:t>图2-3   220kV输电线路建设施工工艺流程图</w:t>
            </w:r>
          </w:p>
          <w:p w14:paraId="6A74E1AA">
            <w:pPr>
              <w:pStyle w:val="27"/>
              <w:keepNext w:val="0"/>
              <w:keepLines w:val="0"/>
              <w:suppressLineNumbers w:val="0"/>
              <w:spacing w:before="0" w:beforeAutospacing="0" w:after="0" w:afterAutospacing="0"/>
              <w:ind w:left="0" w:right="0"/>
              <w:rPr>
                <w:rFonts w:hint="eastAsia" w:eastAsia="宋体"/>
                <w:b/>
                <w:bCs/>
                <w:color w:val="000000" w:themeColor="text1"/>
                <w:lang w:val="en-US" w:eastAsia="zh-CN"/>
              </w:rPr>
            </w:pPr>
            <w:r>
              <w:rPr>
                <w:rFonts w:hint="eastAsia" w:ascii="Times New Roman" w:hAnsi="Times New Roman"/>
                <w:b/>
                <w:bCs/>
                <w:color w:val="000000" w:themeColor="text1"/>
                <w:lang w:val="en-US" w:eastAsia="zh-CN"/>
              </w:rPr>
              <w:t>3</w:t>
            </w:r>
            <w:r>
              <w:rPr>
                <w:rFonts w:hint="eastAsia"/>
                <w:b/>
                <w:bCs/>
                <w:color w:val="000000" w:themeColor="text1"/>
              </w:rPr>
              <w:t>、</w:t>
            </w:r>
            <w:r>
              <w:rPr>
                <w:rFonts w:hint="eastAsia" w:ascii="Times New Roman" w:hAnsi="Times New Roman"/>
                <w:b/>
                <w:bCs/>
                <w:color w:val="000000" w:themeColor="text1"/>
                <w:lang w:eastAsia="zh-CN"/>
              </w:rPr>
              <w:t>库米什</w:t>
            </w:r>
            <w:r>
              <w:rPr>
                <w:rFonts w:hint="eastAsia" w:ascii="Times New Roman" w:hAnsi="Times New Roman"/>
                <w:b/>
                <w:bCs/>
                <w:color w:val="000000" w:themeColor="text1"/>
                <w:lang w:val="en-US" w:eastAsia="zh-CN"/>
              </w:rPr>
              <w:t>220kV变电站扩建间隔</w:t>
            </w:r>
          </w:p>
          <w:p w14:paraId="228ABF44">
            <w:pPr>
              <w:keepNext w:val="0"/>
              <w:keepLines w:val="0"/>
              <w:suppressLineNumbers w:val="0"/>
              <w:spacing w:before="0" w:beforeAutospacing="0" w:after="0" w:afterAutospacing="0" w:line="360" w:lineRule="auto"/>
              <w:ind w:left="0" w:right="0" w:firstLine="480"/>
              <w:jc w:val="both"/>
              <w:rPr>
                <w:rFonts w:hint="eastAsia"/>
                <w:color w:val="000000" w:themeColor="text1"/>
                <w:sz w:val="24"/>
              </w:rPr>
            </w:pPr>
            <w:r>
              <w:rPr>
                <w:rFonts w:hint="eastAsia"/>
                <w:b w:val="0"/>
                <w:bCs w:val="0"/>
                <w:color w:val="000000" w:themeColor="text1"/>
                <w:sz w:val="24"/>
                <w:lang w:val="en-US" w:eastAsia="zh-CN"/>
              </w:rPr>
              <w:t>库米什220kV变电站扩建间隔</w:t>
            </w:r>
            <w:r>
              <w:rPr>
                <w:color w:val="000000" w:themeColor="text1"/>
                <w:sz w:val="24"/>
              </w:rPr>
              <w:t>的建筑施工采用常规方法进行，先进行场地平整，之后进行主体工程的基础施工，包括</w:t>
            </w:r>
            <w:r>
              <w:rPr>
                <w:rFonts w:hint="eastAsia"/>
                <w:color w:val="000000" w:themeColor="text1"/>
                <w:sz w:val="24"/>
                <w:lang w:eastAsia="zh-CN"/>
              </w:rPr>
              <w:t>围墙、间隔基础、场内道路等</w:t>
            </w:r>
            <w:r>
              <w:rPr>
                <w:color w:val="000000" w:themeColor="text1"/>
                <w:sz w:val="24"/>
              </w:rPr>
              <w:t>，基础施工完成后，进行电气设备安装、线路及配套电缆的敷设和对接等，施工完成后对基础进行防护，工程竣工后进行工程验收，最后投入运营。</w:t>
            </w:r>
            <w:r>
              <w:rPr>
                <w:rFonts w:hint="eastAsia"/>
                <w:color w:val="000000" w:themeColor="text1"/>
                <w:sz w:val="24"/>
                <w:lang w:eastAsia="zh-CN"/>
              </w:rPr>
              <w:t>扩建间隔</w:t>
            </w:r>
            <w:r>
              <w:rPr>
                <w:color w:val="000000" w:themeColor="text1"/>
                <w:sz w:val="24"/>
              </w:rPr>
              <w:t>施工工艺流程见下</w:t>
            </w:r>
            <w:r>
              <w:rPr>
                <w:rFonts w:hint="eastAsia"/>
                <w:color w:val="000000" w:themeColor="text1"/>
                <w:sz w:val="24"/>
              </w:rPr>
              <w:t>图：</w:t>
            </w:r>
          </w:p>
          <w:p w14:paraId="1390333A">
            <w:pPr>
              <w:keepNext w:val="0"/>
              <w:keepLines w:val="0"/>
              <w:suppressLineNumbers w:val="0"/>
              <w:spacing w:before="0" w:beforeAutospacing="0" w:after="0" w:afterAutospacing="0" w:line="360" w:lineRule="auto"/>
              <w:ind w:left="0" w:right="0"/>
              <w:jc w:val="both"/>
              <w:rPr>
                <w:color w:val="000000" w:themeColor="text1"/>
              </w:rPr>
            </w:pPr>
            <w:r>
              <w:rPr>
                <w:color w:val="000000" w:themeColor="text1"/>
              </w:rPr>
              <w:drawing>
                <wp:inline distT="0" distB="0" distL="114300" distR="114300">
                  <wp:extent cx="5353050" cy="1762125"/>
                  <wp:effectExtent l="0" t="0" r="0" b="9525"/>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14"/>
                          <a:stretch>
                            <a:fillRect/>
                          </a:stretch>
                        </pic:blipFill>
                        <pic:spPr>
                          <a:xfrm>
                            <a:off x="0" y="0"/>
                            <a:ext cx="5353050" cy="1762125"/>
                          </a:xfrm>
                          <a:prstGeom prst="rect">
                            <a:avLst/>
                          </a:prstGeom>
                          <a:noFill/>
                          <a:ln>
                            <a:noFill/>
                          </a:ln>
                        </pic:spPr>
                      </pic:pic>
                    </a:graphicData>
                  </a:graphic>
                </wp:inline>
              </w:drawing>
            </w:r>
          </w:p>
          <w:p w14:paraId="70735FA4">
            <w:pPr>
              <w:keepNext w:val="0"/>
              <w:keepLines w:val="0"/>
              <w:suppressLineNumbers w:val="0"/>
              <w:spacing w:before="0" w:beforeAutospacing="0" w:after="0" w:afterAutospacing="0" w:line="360" w:lineRule="auto"/>
              <w:ind w:left="0" w:right="0"/>
              <w:jc w:val="center"/>
              <w:rPr>
                <w:b/>
                <w:bCs/>
                <w:color w:val="000000" w:themeColor="text1"/>
                <w:sz w:val="21"/>
                <w:szCs w:val="21"/>
              </w:rPr>
            </w:pPr>
            <w:r>
              <w:rPr>
                <w:rFonts w:hint="eastAsia"/>
                <w:b/>
                <w:bCs/>
                <w:color w:val="000000" w:themeColor="text1"/>
                <w:sz w:val="21"/>
                <w:szCs w:val="21"/>
              </w:rPr>
              <w:t>图2-</w:t>
            </w:r>
            <w:r>
              <w:rPr>
                <w:rFonts w:hint="eastAsia"/>
                <w:b/>
                <w:bCs/>
                <w:color w:val="000000" w:themeColor="text1"/>
                <w:sz w:val="21"/>
                <w:szCs w:val="21"/>
                <w:lang w:val="en-US" w:eastAsia="zh-CN"/>
              </w:rPr>
              <w:t>4</w:t>
            </w:r>
            <w:r>
              <w:rPr>
                <w:rFonts w:hint="eastAsia"/>
                <w:b/>
                <w:bCs/>
                <w:color w:val="000000" w:themeColor="text1"/>
                <w:sz w:val="21"/>
                <w:szCs w:val="21"/>
              </w:rPr>
              <w:t xml:space="preserve">   </w:t>
            </w:r>
            <w:r>
              <w:rPr>
                <w:rFonts w:hint="eastAsia"/>
                <w:b/>
                <w:bCs/>
                <w:color w:val="000000" w:themeColor="text1"/>
                <w:sz w:val="21"/>
                <w:szCs w:val="21"/>
                <w:lang w:eastAsia="zh-CN"/>
              </w:rPr>
              <w:t>库米什</w:t>
            </w:r>
            <w:r>
              <w:rPr>
                <w:rFonts w:hint="eastAsia"/>
                <w:b/>
                <w:bCs/>
                <w:color w:val="000000" w:themeColor="text1"/>
                <w:sz w:val="21"/>
                <w:szCs w:val="21"/>
              </w:rPr>
              <w:t>220kV</w:t>
            </w:r>
            <w:r>
              <w:rPr>
                <w:rFonts w:hint="eastAsia"/>
                <w:b/>
                <w:bCs/>
                <w:color w:val="000000" w:themeColor="text1"/>
                <w:sz w:val="21"/>
                <w:szCs w:val="21"/>
                <w:lang w:eastAsia="zh-CN"/>
              </w:rPr>
              <w:t>变电站扩建间隔</w:t>
            </w:r>
            <w:r>
              <w:rPr>
                <w:rFonts w:hint="eastAsia"/>
                <w:b/>
                <w:bCs/>
                <w:color w:val="000000" w:themeColor="text1"/>
                <w:sz w:val="21"/>
                <w:szCs w:val="21"/>
              </w:rPr>
              <w:t>建设施工工艺流程图</w:t>
            </w:r>
          </w:p>
          <w:p w14:paraId="19091683">
            <w:pPr>
              <w:keepNext w:val="0"/>
              <w:keepLines w:val="0"/>
              <w:suppressLineNumbers w:val="0"/>
              <w:spacing w:before="0" w:beforeAutospacing="0" w:after="0" w:afterAutospacing="0" w:line="360" w:lineRule="auto"/>
              <w:ind w:left="0" w:right="0"/>
              <w:jc w:val="both"/>
              <w:rPr>
                <w:rFonts w:hint="default"/>
                <w:color w:val="000000" w:themeColor="text1"/>
                <w:lang w:val="en-US" w:eastAsia="zh-CN"/>
              </w:rPr>
            </w:pPr>
          </w:p>
          <w:p w14:paraId="4A8D8276">
            <w:pPr>
              <w:keepNext w:val="0"/>
              <w:keepLines w:val="0"/>
              <w:suppressLineNumbers w:val="0"/>
              <w:spacing w:before="0" w:beforeAutospacing="0" w:after="0" w:afterAutospacing="0" w:line="360" w:lineRule="auto"/>
              <w:ind w:left="0" w:right="0"/>
              <w:jc w:val="both"/>
              <w:rPr>
                <w:rFonts w:hint="default"/>
                <w:lang w:val="en-US" w:eastAsia="zh-CN"/>
              </w:rPr>
            </w:pPr>
          </w:p>
          <w:p w14:paraId="6BA36650">
            <w:pPr>
              <w:keepNext w:val="0"/>
              <w:keepLines w:val="0"/>
              <w:suppressLineNumbers w:val="0"/>
              <w:spacing w:before="0" w:beforeAutospacing="0" w:after="0" w:afterAutospacing="0" w:line="360" w:lineRule="auto"/>
              <w:ind w:left="0" w:right="0"/>
              <w:jc w:val="both"/>
              <w:rPr>
                <w:rFonts w:hint="default"/>
                <w:lang w:val="en-US" w:eastAsia="zh-CN"/>
              </w:rPr>
            </w:pPr>
          </w:p>
          <w:p w14:paraId="03D843E4">
            <w:pPr>
              <w:keepNext w:val="0"/>
              <w:keepLines w:val="0"/>
              <w:suppressLineNumbers w:val="0"/>
              <w:spacing w:before="0" w:beforeAutospacing="0" w:after="0" w:afterAutospacing="0" w:line="360" w:lineRule="auto"/>
              <w:ind w:left="0" w:right="0"/>
              <w:jc w:val="both"/>
              <w:rPr>
                <w:rFonts w:hint="default"/>
                <w:lang w:val="en-US" w:eastAsia="zh-CN"/>
              </w:rPr>
            </w:pPr>
          </w:p>
          <w:p w14:paraId="2B75F106">
            <w:pPr>
              <w:keepNext w:val="0"/>
              <w:keepLines w:val="0"/>
              <w:suppressLineNumbers w:val="0"/>
              <w:spacing w:before="0" w:beforeAutospacing="0" w:after="0" w:afterAutospacing="0" w:line="360" w:lineRule="auto"/>
              <w:ind w:left="0" w:right="0"/>
              <w:jc w:val="both"/>
              <w:rPr>
                <w:rFonts w:hint="default"/>
                <w:lang w:val="en-US" w:eastAsia="zh-CN"/>
              </w:rPr>
            </w:pPr>
          </w:p>
        </w:tc>
      </w:tr>
      <w:tr w14:paraId="557A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4" w:hRule="atLeast"/>
        </w:trPr>
        <w:tc>
          <w:tcPr>
            <w:tcW w:w="708" w:type="dxa"/>
            <w:vAlign w:val="center"/>
          </w:tcPr>
          <w:p w14:paraId="6A46BB44">
            <w:pPr>
              <w:pStyle w:val="4"/>
              <w:keepNext w:val="0"/>
              <w:numPr>
                <w:ilvl w:val="2"/>
                <w:numId w:val="0"/>
              </w:numPr>
              <w:suppressLineNumbers w:val="0"/>
              <w:tabs>
                <w:tab w:val="clear" w:pos="720"/>
              </w:tabs>
              <w:spacing w:before="0" w:beforeAutospacing="0" w:after="0" w:afterAutospacing="0"/>
              <w:ind w:left="0" w:right="0"/>
              <w:outlineLvl w:val="2"/>
              <w:rPr>
                <w:sz w:val="24"/>
                <w:szCs w:val="24"/>
              </w:rPr>
            </w:pPr>
            <w:r>
              <w:rPr>
                <w:rFonts w:hint="eastAsia"/>
                <w:sz w:val="24"/>
                <w:szCs w:val="24"/>
              </w:rPr>
              <w:t>其他</w:t>
            </w:r>
          </w:p>
        </w:tc>
        <w:tc>
          <w:tcPr>
            <w:tcW w:w="8842" w:type="dxa"/>
          </w:tcPr>
          <w:p w14:paraId="33507A29">
            <w:pPr>
              <w:keepNext w:val="0"/>
              <w:keepLines w:val="0"/>
              <w:suppressLineNumbers w:val="0"/>
              <w:spacing w:before="0" w:beforeAutospacing="0" w:after="0" w:afterAutospacing="0" w:line="360" w:lineRule="auto"/>
              <w:ind w:left="0" w:right="0"/>
              <w:rPr>
                <w:sz w:val="24"/>
              </w:rPr>
            </w:pPr>
            <w:r>
              <w:rPr>
                <w:rFonts w:hint="eastAsia"/>
                <w:sz w:val="24"/>
              </w:rPr>
              <w:t>输电线路运营期工艺流程</w:t>
            </w:r>
          </w:p>
          <w:p w14:paraId="2D946580">
            <w:pPr>
              <w:pStyle w:val="27"/>
              <w:keepNext w:val="0"/>
              <w:keepLines w:val="0"/>
              <w:suppressLineNumbers w:val="0"/>
              <w:spacing w:before="0" w:beforeAutospacing="0" w:after="0" w:afterAutospacing="0"/>
              <w:ind w:left="0" w:right="0"/>
              <w:jc w:val="center"/>
            </w:pPr>
            <w:r>
              <w:drawing>
                <wp:inline distT="0" distB="0" distL="114300" distR="114300">
                  <wp:extent cx="4676775" cy="2143125"/>
                  <wp:effectExtent l="0" t="0" r="9525" b="9525"/>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15" cstate="print"/>
                          <a:stretch>
                            <a:fillRect/>
                          </a:stretch>
                        </pic:blipFill>
                        <pic:spPr>
                          <a:xfrm>
                            <a:off x="0" y="0"/>
                            <a:ext cx="4676775" cy="2143125"/>
                          </a:xfrm>
                          <a:prstGeom prst="rect">
                            <a:avLst/>
                          </a:prstGeom>
                          <a:noFill/>
                          <a:ln>
                            <a:noFill/>
                          </a:ln>
                        </pic:spPr>
                      </pic:pic>
                    </a:graphicData>
                  </a:graphic>
                </wp:inline>
              </w:drawing>
            </w:r>
          </w:p>
          <w:p w14:paraId="47A2852F">
            <w:pPr>
              <w:keepNext w:val="0"/>
              <w:keepLines w:val="0"/>
              <w:suppressLineNumbers w:val="0"/>
              <w:spacing w:before="0" w:beforeAutospacing="0" w:after="0" w:afterAutospacing="0" w:line="360" w:lineRule="auto"/>
              <w:ind w:left="0" w:right="0"/>
              <w:jc w:val="center"/>
              <w:rPr>
                <w:b/>
                <w:bCs/>
                <w:color w:val="000000" w:themeColor="text1"/>
                <w:sz w:val="21"/>
                <w:szCs w:val="21"/>
              </w:rPr>
            </w:pPr>
            <w:r>
              <w:rPr>
                <w:rFonts w:hint="eastAsia"/>
                <w:b/>
                <w:bCs/>
                <w:color w:val="000000" w:themeColor="text1"/>
                <w:sz w:val="21"/>
                <w:szCs w:val="21"/>
              </w:rPr>
              <w:t>图2-</w:t>
            </w:r>
            <w:r>
              <w:rPr>
                <w:rFonts w:hint="eastAsia"/>
                <w:b/>
                <w:bCs/>
                <w:color w:val="000000" w:themeColor="text1"/>
                <w:sz w:val="21"/>
                <w:szCs w:val="21"/>
                <w:lang w:val="en-US" w:eastAsia="zh-CN"/>
              </w:rPr>
              <w:t>5</w:t>
            </w:r>
            <w:r>
              <w:rPr>
                <w:rFonts w:hint="eastAsia"/>
                <w:b/>
                <w:bCs/>
                <w:color w:val="000000" w:themeColor="text1"/>
                <w:sz w:val="21"/>
                <w:szCs w:val="21"/>
              </w:rPr>
              <w:t xml:space="preserve">   </w:t>
            </w:r>
            <w:r>
              <w:rPr>
                <w:rFonts w:hint="eastAsia"/>
                <w:b/>
                <w:bCs/>
                <w:color w:val="000000" w:themeColor="text1"/>
                <w:sz w:val="21"/>
                <w:szCs w:val="21"/>
                <w:lang w:eastAsia="zh-CN"/>
              </w:rPr>
              <w:t>输电线路运营期</w:t>
            </w:r>
            <w:r>
              <w:rPr>
                <w:rFonts w:hint="eastAsia"/>
                <w:b/>
                <w:bCs/>
                <w:color w:val="000000" w:themeColor="text1"/>
                <w:sz w:val="21"/>
                <w:szCs w:val="21"/>
              </w:rPr>
              <w:t>工艺流程图</w:t>
            </w:r>
          </w:p>
          <w:p w14:paraId="17636823">
            <w:pPr>
              <w:pStyle w:val="29"/>
              <w:keepNext w:val="0"/>
              <w:keepLines w:val="0"/>
              <w:suppressLineNumbers w:val="0"/>
              <w:spacing w:before="0" w:beforeAutospacing="0" w:after="0" w:afterAutospacing="0"/>
              <w:ind w:left="0" w:leftChars="0" w:right="105" w:firstLine="0" w:firstLineChars="0"/>
              <w:rPr>
                <w:b w:val="0"/>
                <w:bCs w:val="0"/>
                <w:sz w:val="24"/>
                <w:szCs w:val="24"/>
              </w:rPr>
            </w:pPr>
            <w:r>
              <w:rPr>
                <w:rFonts w:hint="eastAsia"/>
                <w:b w:val="0"/>
                <w:bCs w:val="0"/>
                <w:sz w:val="24"/>
                <w:szCs w:val="24"/>
              </w:rPr>
              <w:t>工艺流程简述：</w:t>
            </w:r>
          </w:p>
          <w:p w14:paraId="4EB75C94">
            <w:pPr>
              <w:keepNext w:val="0"/>
              <w:keepLines w:val="0"/>
              <w:suppressLineNumbers w:val="0"/>
              <w:spacing w:before="0" w:beforeAutospacing="0" w:after="0" w:afterAutospacing="0" w:line="360" w:lineRule="auto"/>
              <w:ind w:left="0" w:right="0" w:firstLine="472" w:firstLineChars="200"/>
              <w:rPr>
                <w:spacing w:val="-2"/>
                <w:sz w:val="24"/>
              </w:rPr>
            </w:pPr>
            <w:r>
              <w:rPr>
                <w:rFonts w:hint="eastAsia"/>
                <w:spacing w:val="-2"/>
                <w:sz w:val="24"/>
              </w:rPr>
              <w:t>本工程为输变电工程，将高压电流通过220kV输电线路的导线送入库米什</w:t>
            </w:r>
            <w:r>
              <w:rPr>
                <w:spacing w:val="-2"/>
                <w:sz w:val="24"/>
              </w:rPr>
              <w:t>220</w:t>
            </w:r>
            <w:r>
              <w:rPr>
                <w:rFonts w:hint="eastAsia"/>
                <w:spacing w:val="-2"/>
                <w:sz w:val="24"/>
              </w:rPr>
              <w:t>kV变电站。输电导线与导线之间有电压称相电压、导线与地之间的电压称为线电压。</w:t>
            </w:r>
          </w:p>
          <w:p w14:paraId="59B9607D">
            <w:pPr>
              <w:keepNext w:val="0"/>
              <w:keepLines w:val="0"/>
              <w:suppressLineNumbers w:val="0"/>
              <w:spacing w:before="0" w:beforeAutospacing="0" w:after="0" w:afterAutospacing="0" w:line="360" w:lineRule="auto"/>
              <w:ind w:left="0" w:right="0" w:firstLine="472" w:firstLineChars="200"/>
              <w:rPr>
                <w:rFonts w:hint="eastAsia"/>
                <w:spacing w:val="-2"/>
                <w:sz w:val="24"/>
              </w:rPr>
            </w:pPr>
            <w:r>
              <w:rPr>
                <w:rFonts w:hint="eastAsia"/>
                <w:spacing w:val="-2"/>
                <w:sz w:val="24"/>
              </w:rPr>
              <w:t>导线与地之间存在电压（电势差），必然在导线与地之间建立一电场。该电场随导线电压改变而改变，工频输电导线的周围会产生工频电强度。输电线路在输送电能的过程中，导线中会有较大电流通过，在导线周围必定会产生电磁感应现象，导线周围会产生工频磁感应强度。故输电线路投入运营后可能对周围环境中的工频电场强度、工频磁感应强度产生影响。</w:t>
            </w:r>
          </w:p>
          <w:p w14:paraId="4B394841">
            <w:pPr>
              <w:keepNext w:val="0"/>
              <w:keepLines w:val="0"/>
              <w:suppressLineNumbers w:val="0"/>
              <w:spacing w:before="0" w:beforeAutospacing="0" w:after="0" w:afterAutospacing="0" w:line="360" w:lineRule="auto"/>
              <w:ind w:left="0" w:right="0" w:firstLine="472" w:firstLineChars="200"/>
              <w:rPr>
                <w:rFonts w:hint="eastAsia"/>
                <w:spacing w:val="-2"/>
                <w:sz w:val="24"/>
              </w:rPr>
            </w:pPr>
          </w:p>
          <w:p w14:paraId="1B627BDA">
            <w:pPr>
              <w:keepNext w:val="0"/>
              <w:keepLines w:val="0"/>
              <w:suppressLineNumbers w:val="0"/>
              <w:spacing w:before="0" w:beforeAutospacing="0" w:after="0" w:afterAutospacing="0" w:line="360" w:lineRule="auto"/>
              <w:ind w:left="0" w:right="0" w:firstLine="472" w:firstLineChars="200"/>
              <w:rPr>
                <w:rFonts w:hint="eastAsia"/>
                <w:spacing w:val="-2"/>
                <w:sz w:val="24"/>
              </w:rPr>
            </w:pPr>
          </w:p>
        </w:tc>
      </w:tr>
    </w:tbl>
    <w:p w14:paraId="55D331A5">
      <w:pPr>
        <w:pStyle w:val="4"/>
        <w:numPr>
          <w:ilvl w:val="2"/>
          <w:numId w:val="0"/>
        </w:numPr>
        <w:tabs>
          <w:tab w:val="clear" w:pos="720"/>
        </w:tabs>
        <w:sectPr>
          <w:pgSz w:w="11906" w:h="16838"/>
          <w:pgMar w:top="1440" w:right="1800" w:bottom="1440" w:left="1800" w:header="851" w:footer="992" w:gutter="0"/>
          <w:cols w:space="425" w:num="1"/>
          <w:docGrid w:type="lines" w:linePitch="312" w:charSpace="0"/>
        </w:sectPr>
      </w:pPr>
    </w:p>
    <w:p w14:paraId="1D713048">
      <w:pPr>
        <w:numPr>
          <w:ilvl w:val="0"/>
          <w:numId w:val="7"/>
        </w:numPr>
        <w:spacing w:before="98" w:line="222" w:lineRule="auto"/>
        <w:ind w:left="1905"/>
        <w:outlineLvl w:val="0"/>
        <w:rPr>
          <w:rFonts w:ascii="黑体" w:hAnsi="黑体" w:eastAsia="黑体" w:cs="黑体"/>
          <w:spacing w:val="-1"/>
          <w:sz w:val="30"/>
          <w:szCs w:val="30"/>
        </w:rPr>
      </w:pPr>
      <w:r>
        <w:rPr>
          <w:rFonts w:ascii="黑体" w:hAnsi="黑体" w:eastAsia="黑体" w:cs="黑体"/>
          <w:spacing w:val="-1"/>
          <w:sz w:val="30"/>
          <w:szCs w:val="30"/>
        </w:rPr>
        <w:t>生态环境现状、保护目标及评价标准</w:t>
      </w:r>
    </w:p>
    <w:tbl>
      <w:tblPr>
        <w:tblStyle w:val="31"/>
        <w:tblW w:w="9553" w:type="dxa"/>
        <w:tblInd w:w="-2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0"/>
        <w:gridCol w:w="8753"/>
      </w:tblGrid>
      <w:tr w14:paraId="0FA43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5" w:hRule="atLeast"/>
        </w:trPr>
        <w:tc>
          <w:tcPr>
            <w:tcW w:w="800" w:type="dxa"/>
            <w:tcBorders>
              <w:right w:val="single" w:color="000000" w:sz="2" w:space="0"/>
            </w:tcBorders>
          </w:tcPr>
          <w:p w14:paraId="1F0D1F6E">
            <w:pPr>
              <w:spacing w:line="241" w:lineRule="auto"/>
              <w:rPr>
                <w:rFonts w:ascii="Arial"/>
              </w:rPr>
            </w:pPr>
          </w:p>
          <w:p w14:paraId="04FEEE2F">
            <w:pPr>
              <w:spacing w:line="241" w:lineRule="auto"/>
              <w:rPr>
                <w:rFonts w:ascii="Arial"/>
              </w:rPr>
            </w:pPr>
          </w:p>
          <w:p w14:paraId="2B9B39EC">
            <w:pPr>
              <w:spacing w:line="241" w:lineRule="auto"/>
              <w:rPr>
                <w:rFonts w:ascii="Arial"/>
              </w:rPr>
            </w:pPr>
          </w:p>
          <w:p w14:paraId="0D07E858">
            <w:pPr>
              <w:spacing w:line="241" w:lineRule="auto"/>
              <w:rPr>
                <w:rFonts w:ascii="Arial"/>
              </w:rPr>
            </w:pPr>
          </w:p>
          <w:p w14:paraId="5CF604A8">
            <w:pPr>
              <w:spacing w:line="241" w:lineRule="auto"/>
              <w:rPr>
                <w:rFonts w:ascii="Arial"/>
              </w:rPr>
            </w:pPr>
          </w:p>
          <w:p w14:paraId="0EF27A93">
            <w:pPr>
              <w:spacing w:line="241" w:lineRule="auto"/>
              <w:rPr>
                <w:rFonts w:ascii="Arial"/>
              </w:rPr>
            </w:pPr>
          </w:p>
          <w:p w14:paraId="0AED677B">
            <w:pPr>
              <w:spacing w:line="241" w:lineRule="auto"/>
              <w:rPr>
                <w:rFonts w:ascii="Arial"/>
              </w:rPr>
            </w:pPr>
          </w:p>
          <w:p w14:paraId="1FBEBD58">
            <w:pPr>
              <w:spacing w:line="241" w:lineRule="auto"/>
              <w:rPr>
                <w:rFonts w:ascii="Arial"/>
              </w:rPr>
            </w:pPr>
          </w:p>
          <w:p w14:paraId="73ADAA56">
            <w:pPr>
              <w:spacing w:line="241" w:lineRule="auto"/>
              <w:rPr>
                <w:rFonts w:ascii="Arial"/>
              </w:rPr>
            </w:pPr>
          </w:p>
          <w:p w14:paraId="473ED7A4">
            <w:pPr>
              <w:spacing w:line="241" w:lineRule="auto"/>
              <w:rPr>
                <w:rFonts w:ascii="Arial"/>
              </w:rPr>
            </w:pPr>
          </w:p>
          <w:p w14:paraId="0A249051">
            <w:pPr>
              <w:spacing w:line="241" w:lineRule="auto"/>
              <w:rPr>
                <w:rFonts w:ascii="Arial"/>
              </w:rPr>
            </w:pPr>
          </w:p>
          <w:p w14:paraId="04C4F434">
            <w:pPr>
              <w:spacing w:line="241" w:lineRule="auto"/>
              <w:rPr>
                <w:rFonts w:ascii="Arial"/>
              </w:rPr>
            </w:pPr>
          </w:p>
          <w:p w14:paraId="09BBCF77">
            <w:pPr>
              <w:spacing w:line="241" w:lineRule="auto"/>
              <w:rPr>
                <w:rFonts w:ascii="Arial"/>
              </w:rPr>
            </w:pPr>
          </w:p>
          <w:p w14:paraId="07A7FEE5">
            <w:pPr>
              <w:pStyle w:val="30"/>
              <w:spacing w:before="65" w:line="278" w:lineRule="auto"/>
              <w:ind w:right="140"/>
              <w:jc w:val="center"/>
              <w:rPr>
                <w:sz w:val="20"/>
                <w:szCs w:val="20"/>
                <w:lang w:eastAsia="zh-CN"/>
              </w:rPr>
            </w:pPr>
            <w:r>
              <w:rPr>
                <w:rFonts w:hint="eastAsia"/>
                <w:lang w:eastAsia="zh-CN"/>
              </w:rPr>
              <w:t>生态环境现状</w:t>
            </w:r>
          </w:p>
        </w:tc>
        <w:tc>
          <w:tcPr>
            <w:tcW w:w="8753" w:type="dxa"/>
            <w:tcBorders>
              <w:left w:val="single" w:color="000000" w:sz="2" w:space="0"/>
            </w:tcBorders>
          </w:tcPr>
          <w:p w14:paraId="6D0A8D98">
            <w:pPr>
              <w:pStyle w:val="30"/>
              <w:spacing w:before="40" w:line="219" w:lineRule="auto"/>
              <w:ind w:left="126"/>
            </w:pPr>
            <w:r>
              <w:rPr>
                <w:rFonts w:ascii="Times New Roman" w:hAnsi="Times New Roman" w:cs="Times New Roman"/>
                <w:b/>
                <w:bCs/>
                <w:spacing w:val="-4"/>
              </w:rPr>
              <w:t>1</w:t>
            </w:r>
            <w:r>
              <w:rPr>
                <w:rFonts w:hint="eastAsia"/>
                <w:b/>
                <w:bCs/>
                <w:spacing w:val="-4"/>
                <w:lang w:eastAsia="zh-CN"/>
              </w:rPr>
              <w:t>、</w:t>
            </w:r>
            <w:r>
              <w:rPr>
                <w:b/>
                <w:bCs/>
                <w:spacing w:val="-4"/>
              </w:rPr>
              <w:t>与主体功能规划相符性</w:t>
            </w:r>
          </w:p>
          <w:p w14:paraId="721C261D">
            <w:pPr>
              <w:spacing w:line="360" w:lineRule="auto"/>
              <w:ind w:firstLine="472" w:firstLineChars="200"/>
              <w:rPr>
                <w:spacing w:val="-2"/>
                <w:sz w:val="24"/>
              </w:rPr>
            </w:pPr>
            <w:r>
              <w:rPr>
                <w:rFonts w:hint="eastAsia"/>
                <w:spacing w:val="-2"/>
                <w:sz w:val="24"/>
              </w:rPr>
              <w:t>根据《新疆维吾尔自治区主体功能区规划》，主体功能区按开发方式，分为重点开发、限制开发和禁止开发区域三类；按开发内容，分为城市化地区、农产品主产区和重点生态功能区三类；按层级，分为国家和自治区两个层面。</w:t>
            </w:r>
          </w:p>
          <w:p w14:paraId="28DE0DBF">
            <w:pPr>
              <w:spacing w:line="360" w:lineRule="auto"/>
              <w:ind w:firstLine="472" w:firstLineChars="200"/>
              <w:rPr>
                <w:spacing w:val="-2"/>
                <w:sz w:val="24"/>
              </w:rPr>
            </w:pPr>
            <w:r>
              <w:rPr>
                <w:rFonts w:hint="eastAsia"/>
                <w:spacing w:val="-2"/>
                <w:sz w:val="24"/>
              </w:rPr>
              <w:t>本项目位于吐鲁番市托克逊</w:t>
            </w:r>
            <w:r>
              <w:rPr>
                <w:rFonts w:hint="eastAsia"/>
                <w:color w:val="000000" w:themeColor="text1"/>
                <w:spacing w:val="-2"/>
                <w:sz w:val="24"/>
              </w:rPr>
              <w:t>县库米什镇，属于国</w:t>
            </w:r>
            <w:r>
              <w:rPr>
                <w:rFonts w:hint="eastAsia"/>
                <w:spacing w:val="-2"/>
                <w:sz w:val="24"/>
              </w:rPr>
              <w:t>家级农产品主产区。不属于主体功能区划中确定的国家和自治区层面的禁止开发区域。对照《新疆维吾尔自治区主体功能区规划》的划分，本项目所处区域为限制开发区域。</w:t>
            </w:r>
          </w:p>
          <w:p w14:paraId="26F61987">
            <w:pPr>
              <w:spacing w:line="360" w:lineRule="auto"/>
              <w:ind w:firstLine="472" w:firstLineChars="200"/>
              <w:rPr>
                <w:spacing w:val="-2"/>
                <w:sz w:val="24"/>
              </w:rPr>
            </w:pPr>
            <w:r>
              <w:rPr>
                <w:rFonts w:hint="eastAsia"/>
                <w:spacing w:val="-2"/>
                <w:sz w:val="24"/>
              </w:rPr>
              <w:t>限制开发区域(农产品主产区)——限制进行大规模高强度工业化城镇化开发的农产品主产区。其功能定位是：保障农牧产品供给安全的重要区域，农牧民安居乐业的美好家园，社会主义新农村建设的示范区。</w:t>
            </w:r>
          </w:p>
          <w:p w14:paraId="06244613">
            <w:pPr>
              <w:spacing w:line="360" w:lineRule="auto"/>
              <w:ind w:firstLine="472" w:firstLineChars="200"/>
              <w:rPr>
                <w:spacing w:val="-2"/>
                <w:sz w:val="24"/>
              </w:rPr>
            </w:pPr>
            <w:r>
              <w:rPr>
                <w:rFonts w:hint="eastAsia"/>
                <w:spacing w:val="-2"/>
                <w:sz w:val="24"/>
              </w:rPr>
              <w:t>开发原则：位于农产品主产区的点状能源和矿产资源基地建设，应尽可能减少对生态空间与农业空间的占用，同步修复生态环境。其中，在水资源严重短缺、环境容量很小、生态十分脆弱、地震和地质灾害频发的地区，要严格控制能源和矿产资源开发。</w:t>
            </w:r>
          </w:p>
          <w:p w14:paraId="0094C515">
            <w:pPr>
              <w:spacing w:line="360" w:lineRule="auto"/>
              <w:ind w:firstLine="472" w:firstLineChars="200"/>
              <w:rPr>
                <w:spacing w:val="-2"/>
                <w:sz w:val="24"/>
              </w:rPr>
            </w:pPr>
            <w:r>
              <w:rPr>
                <w:rFonts w:hint="eastAsia"/>
                <w:spacing w:val="-2"/>
                <w:sz w:val="24"/>
              </w:rPr>
              <w:t>本项目属于电力能源基础设施建设项目，为该区域的发展提供电力保障，本项目开发建设符合该区域开发功能定位要求。</w:t>
            </w:r>
          </w:p>
          <w:p w14:paraId="1259954E">
            <w:pPr>
              <w:pStyle w:val="30"/>
              <w:spacing w:before="78" w:line="219" w:lineRule="auto"/>
              <w:ind w:left="111"/>
            </w:pPr>
            <w:r>
              <w:rPr>
                <w:rFonts w:ascii="Times New Roman" w:hAnsi="Times New Roman" w:cs="Times New Roman"/>
                <w:b/>
                <w:bCs/>
                <w:spacing w:val="-4"/>
              </w:rPr>
              <w:t>2</w:t>
            </w:r>
            <w:r>
              <w:rPr>
                <w:rFonts w:hint="eastAsia"/>
                <w:b/>
                <w:bCs/>
                <w:spacing w:val="-6"/>
                <w:lang w:eastAsia="zh-CN"/>
              </w:rPr>
              <w:t>、</w:t>
            </w:r>
            <w:r>
              <w:rPr>
                <w:b/>
                <w:bCs/>
                <w:spacing w:val="-6"/>
              </w:rPr>
              <w:t>生态环境现状</w:t>
            </w:r>
          </w:p>
          <w:p w14:paraId="75920DFB">
            <w:pPr>
              <w:pStyle w:val="30"/>
              <w:spacing w:before="79" w:line="220" w:lineRule="auto"/>
              <w:ind w:firstLine="472" w:firstLineChars="200"/>
            </w:pPr>
            <w:r>
              <w:rPr>
                <w:spacing w:val="-2"/>
              </w:rPr>
              <w:t>（1）生态环境功能区划</w:t>
            </w:r>
          </w:p>
          <w:p w14:paraId="3E85F146">
            <w:pPr>
              <w:pStyle w:val="30"/>
              <w:spacing w:before="78" w:line="354" w:lineRule="auto"/>
              <w:ind w:right="102" w:firstLine="492" w:firstLineChars="200"/>
              <w:rPr>
                <w:rFonts w:ascii="Times New Roman" w:hAnsi="Times New Roman" w:cs="Times New Roman"/>
                <w:spacing w:val="-2"/>
              </w:rPr>
            </w:pPr>
            <w:r>
              <w:rPr>
                <w:rFonts w:ascii="Times New Roman" w:hAnsi="Times New Roman" w:cs="Times New Roman"/>
                <w:spacing w:val="3"/>
              </w:rPr>
              <w:t>根据《新疆生态功能区划》，本项目线路位于吐</w:t>
            </w:r>
            <w:r>
              <w:rPr>
                <w:rFonts w:ascii="Times New Roman" w:hAnsi="Times New Roman" w:cs="Times New Roman"/>
                <w:spacing w:val="-7"/>
              </w:rPr>
              <w:t>鲁番市托克逊县，</w:t>
            </w:r>
            <w:r>
              <w:rPr>
                <w:rFonts w:ascii="Times New Roman" w:hAnsi="Times New Roman" w:cs="Times New Roman"/>
                <w:spacing w:val="-7"/>
                <w:lang w:eastAsia="zh-CN"/>
              </w:rPr>
              <w:t>属于</w:t>
            </w:r>
            <w:r>
              <w:rPr>
                <w:rFonts w:ascii="Times New Roman" w:hAnsi="Times New Roman" w:cs="Times New Roman"/>
              </w:rPr>
              <w:t>天山山地温性草原、森林生态区(Ⅲ)</w:t>
            </w:r>
            <w:r>
              <w:rPr>
                <w:rFonts w:ascii="Times New Roman" w:hAnsi="Times New Roman" w:cs="Times New Roman"/>
                <w:spacing w:val="-1"/>
              </w:rPr>
              <w:t>-天山</w:t>
            </w:r>
            <w:r>
              <w:rPr>
                <w:rFonts w:ascii="Times New Roman" w:hAnsi="Times New Roman" w:cs="Times New Roman"/>
                <w:spacing w:val="-1"/>
                <w:lang w:eastAsia="zh-CN"/>
              </w:rPr>
              <w:t>南坡草原牧业、绿洲农业生态亚区</w:t>
            </w:r>
            <w:r>
              <w:rPr>
                <w:rFonts w:ascii="Times New Roman" w:hAnsi="Times New Roman" w:cs="Times New Roman"/>
                <w:spacing w:val="-2"/>
              </w:rPr>
              <w:t>(Ⅲ</w:t>
            </w:r>
            <w:r>
              <w:rPr>
                <w:rFonts w:ascii="Times New Roman" w:hAnsi="Times New Roman" w:cs="Times New Roman"/>
                <w:spacing w:val="-2"/>
                <w:lang w:eastAsia="zh-CN"/>
              </w:rPr>
              <w:t>3</w:t>
            </w:r>
            <w:r>
              <w:rPr>
                <w:rFonts w:ascii="Times New Roman" w:hAnsi="Times New Roman" w:cs="Times New Roman"/>
                <w:spacing w:val="-2"/>
              </w:rPr>
              <w:t>)-觉罗塔格-库鲁提克塔格山矿业开发、植被保护生态功能区</w:t>
            </w:r>
            <w:r>
              <w:rPr>
                <w:rFonts w:ascii="Times New Roman" w:hAnsi="Times New Roman" w:cs="Times New Roman"/>
                <w:spacing w:val="-1"/>
              </w:rPr>
              <w:t>(</w:t>
            </w:r>
            <w:r>
              <w:rPr>
                <w:rFonts w:ascii="Times New Roman" w:hAnsi="Times New Roman" w:cs="Times New Roman"/>
                <w:spacing w:val="-1"/>
                <w:lang w:eastAsia="zh-CN"/>
              </w:rPr>
              <w:t>48</w:t>
            </w:r>
            <w:r>
              <w:rPr>
                <w:rFonts w:ascii="Times New Roman" w:hAnsi="Times New Roman" w:cs="Times New Roman"/>
                <w:spacing w:val="-1"/>
              </w:rPr>
              <w:t>)。该功能区主要的特征，见表</w:t>
            </w:r>
            <w:r>
              <w:rPr>
                <w:rFonts w:ascii="Times New Roman" w:hAnsi="Times New Roman" w:cs="Times New Roman"/>
                <w:spacing w:val="-46"/>
              </w:rPr>
              <w:t xml:space="preserve"> </w:t>
            </w:r>
            <w:r>
              <w:rPr>
                <w:rFonts w:ascii="Times New Roman" w:hAnsi="Times New Roman" w:cs="Times New Roman"/>
                <w:spacing w:val="-1"/>
              </w:rPr>
              <w:t>3-</w:t>
            </w:r>
            <w:r>
              <w:rPr>
                <w:rFonts w:ascii="Times New Roman" w:hAnsi="Times New Roman" w:cs="Times New Roman"/>
                <w:spacing w:val="-2"/>
              </w:rPr>
              <w:t>1。</w:t>
            </w:r>
          </w:p>
          <w:p w14:paraId="08490954">
            <w:pPr>
              <w:pStyle w:val="30"/>
              <w:spacing w:before="78" w:line="354" w:lineRule="auto"/>
              <w:ind w:right="102" w:firstLine="434" w:firstLineChars="200"/>
              <w:jc w:val="center"/>
              <w:rPr>
                <w:rFonts w:ascii="Times New Roman" w:hAnsi="Times New Roman" w:cs="Times New Roman"/>
                <w:b/>
                <w:bCs/>
                <w:spacing w:val="3"/>
              </w:rPr>
            </w:pPr>
            <w:r>
              <w:rPr>
                <w:rFonts w:ascii="Times New Roman" w:hAnsi="Times New Roman" w:cs="Times New Roman"/>
                <w:b/>
                <w:bCs/>
                <w:spacing w:val="3"/>
                <w:sz w:val="21"/>
                <w:szCs w:val="21"/>
              </w:rPr>
              <w:t>表 3-1    本项目所属生态功能区主要特征</w:t>
            </w:r>
          </w:p>
          <w:tbl>
            <w:tblPr>
              <w:tblStyle w:val="22"/>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870"/>
              <w:gridCol w:w="522"/>
              <w:gridCol w:w="5713"/>
            </w:tblGrid>
            <w:tr w14:paraId="3F55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7" w:type="dxa"/>
                  <w:vMerge w:val="restart"/>
                  <w:textDirection w:val="tbRlV"/>
                </w:tcPr>
                <w:p w14:paraId="43B39C61">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生态功能分区单元</w:t>
                  </w:r>
                </w:p>
              </w:tc>
              <w:tc>
                <w:tcPr>
                  <w:tcW w:w="1392" w:type="dxa"/>
                  <w:gridSpan w:val="2"/>
                </w:tcPr>
                <w:p w14:paraId="006727DF">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生态区</w:t>
                  </w:r>
                </w:p>
              </w:tc>
              <w:tc>
                <w:tcPr>
                  <w:tcW w:w="5713" w:type="dxa"/>
                </w:tcPr>
                <w:p w14:paraId="3D640ABC">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r>
                    <w:rPr>
                      <w:rFonts w:ascii="Times New Roman" w:hAnsi="Times New Roman" w:cs="Times New Roman"/>
                      <w:spacing w:val="-1"/>
                      <w:sz w:val="21"/>
                      <w:szCs w:val="21"/>
                    </w:rPr>
                    <w:t>天山山地温性草原、森林生态区</w:t>
                  </w:r>
                </w:p>
              </w:tc>
            </w:tr>
            <w:tr w14:paraId="4FBC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tcPr>
                <w:p w14:paraId="1A446FFD">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p>
              </w:tc>
              <w:tc>
                <w:tcPr>
                  <w:tcW w:w="1392" w:type="dxa"/>
                  <w:gridSpan w:val="2"/>
                </w:tcPr>
                <w:p w14:paraId="30CE2D45">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生态亚区</w:t>
                  </w:r>
                </w:p>
              </w:tc>
              <w:tc>
                <w:tcPr>
                  <w:tcW w:w="5713" w:type="dxa"/>
                </w:tcPr>
                <w:p w14:paraId="47044C4C">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r>
                    <w:rPr>
                      <w:rFonts w:ascii="Times New Roman" w:hAnsi="Times New Roman" w:cs="Times New Roman"/>
                      <w:spacing w:val="-2"/>
                      <w:sz w:val="21"/>
                      <w:szCs w:val="21"/>
                    </w:rPr>
                    <w:t>Ⅲ</w:t>
                  </w:r>
                  <w:r>
                    <w:rPr>
                      <w:rFonts w:ascii="Times New Roman" w:hAnsi="Times New Roman" w:cs="Times New Roman"/>
                      <w:spacing w:val="-2"/>
                      <w:sz w:val="21"/>
                      <w:szCs w:val="21"/>
                      <w:lang w:eastAsia="zh-CN"/>
                    </w:rPr>
                    <w:t>3</w:t>
                  </w:r>
                  <w:r>
                    <w:rPr>
                      <w:rFonts w:ascii="Times New Roman" w:hAnsi="Times New Roman" w:cs="Times New Roman"/>
                      <w:spacing w:val="-1"/>
                      <w:sz w:val="21"/>
                      <w:szCs w:val="21"/>
                    </w:rPr>
                    <w:t>天山</w:t>
                  </w:r>
                  <w:r>
                    <w:rPr>
                      <w:rFonts w:ascii="Times New Roman" w:hAnsi="Times New Roman" w:cs="Times New Roman"/>
                      <w:spacing w:val="-1"/>
                      <w:sz w:val="21"/>
                      <w:szCs w:val="21"/>
                      <w:lang w:eastAsia="zh-CN"/>
                    </w:rPr>
                    <w:t>南坡草原牧业、绿洲农业生态亚区</w:t>
                  </w:r>
                </w:p>
              </w:tc>
            </w:tr>
            <w:tr w14:paraId="1400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07" w:type="dxa"/>
                  <w:vMerge w:val="continue"/>
                </w:tcPr>
                <w:p w14:paraId="3F48B98D">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p>
              </w:tc>
              <w:tc>
                <w:tcPr>
                  <w:tcW w:w="1392" w:type="dxa"/>
                  <w:gridSpan w:val="2"/>
                </w:tcPr>
                <w:p w14:paraId="63616896">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生态功能区</w:t>
                  </w:r>
                </w:p>
              </w:tc>
              <w:tc>
                <w:tcPr>
                  <w:tcW w:w="5713" w:type="dxa"/>
                </w:tcPr>
                <w:p w14:paraId="38214A32">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r>
                    <w:rPr>
                      <w:rFonts w:ascii="Times New Roman" w:hAnsi="Times New Roman" w:cs="Times New Roman"/>
                      <w:spacing w:val="-1"/>
                      <w:sz w:val="21"/>
                      <w:szCs w:val="21"/>
                      <w:lang w:eastAsia="zh-CN"/>
                    </w:rPr>
                    <w:t>48.</w:t>
                  </w:r>
                  <w:r>
                    <w:rPr>
                      <w:rFonts w:ascii="Times New Roman" w:hAnsi="Times New Roman" w:cs="Times New Roman"/>
                      <w:spacing w:val="-1"/>
                      <w:sz w:val="21"/>
                      <w:szCs w:val="21"/>
                    </w:rPr>
                    <w:t>觉罗塔格-库鲁提克塔格山矿业开发、植被保护生态功能区</w:t>
                  </w:r>
                </w:p>
              </w:tc>
            </w:tr>
            <w:tr w14:paraId="3FC4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dxa"/>
                  <w:gridSpan w:val="3"/>
                </w:tcPr>
                <w:p w14:paraId="76B0596F">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主要生态服务功能</w:t>
                  </w:r>
                </w:p>
              </w:tc>
              <w:tc>
                <w:tcPr>
                  <w:tcW w:w="5713" w:type="dxa"/>
                </w:tcPr>
                <w:p w14:paraId="45D2C331">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1"/>
                      <w:sz w:val="21"/>
                      <w:szCs w:val="21"/>
                    </w:rPr>
                  </w:pPr>
                  <w:r>
                    <w:rPr>
                      <w:rFonts w:ascii="Times New Roman" w:hAnsi="Times New Roman" w:cs="Times New Roman"/>
                      <w:spacing w:val="-1"/>
                      <w:sz w:val="21"/>
                      <w:szCs w:val="21"/>
                    </w:rPr>
                    <w:t>荒漠化控制、矿产资源开发</w:t>
                  </w:r>
                </w:p>
              </w:tc>
            </w:tr>
            <w:tr w14:paraId="0FB6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2"/>
                </w:tcPr>
                <w:p w14:paraId="36CEE3BA">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主要生态环境问题</w:t>
                  </w:r>
                </w:p>
              </w:tc>
              <w:tc>
                <w:tcPr>
                  <w:tcW w:w="6235" w:type="dxa"/>
                  <w:gridSpan w:val="2"/>
                </w:tcPr>
                <w:p w14:paraId="1C6404B9">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荒漠植被破坏、地貌破坏</w:t>
                  </w:r>
                </w:p>
              </w:tc>
            </w:tr>
            <w:tr w14:paraId="6F1A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2"/>
                </w:tcPr>
                <w:p w14:paraId="7202CEE2">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主要生态敏感因子、敏感程度</w:t>
                  </w:r>
                </w:p>
              </w:tc>
              <w:tc>
                <w:tcPr>
                  <w:tcW w:w="6235" w:type="dxa"/>
                  <w:gridSpan w:val="2"/>
                </w:tcPr>
                <w:p w14:paraId="67BC46E8">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土壤侵蚀高度敏感，土地沙漠化轻度敏感</w:t>
                  </w:r>
                </w:p>
              </w:tc>
            </w:tr>
            <w:tr w14:paraId="4EC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2"/>
                </w:tcPr>
                <w:p w14:paraId="560CE1AD">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保护目标</w:t>
                  </w:r>
                </w:p>
              </w:tc>
              <w:tc>
                <w:tcPr>
                  <w:tcW w:w="6235" w:type="dxa"/>
                  <w:gridSpan w:val="2"/>
                </w:tcPr>
                <w:p w14:paraId="568813FC">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保护荒漠植被、保护野骆驼等野生动物</w:t>
                  </w:r>
                </w:p>
              </w:tc>
            </w:tr>
            <w:tr w14:paraId="02D5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2"/>
                </w:tcPr>
                <w:p w14:paraId="24ADBA0A">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保护措施</w:t>
                  </w:r>
                </w:p>
              </w:tc>
              <w:tc>
                <w:tcPr>
                  <w:tcW w:w="6235" w:type="dxa"/>
                  <w:gridSpan w:val="2"/>
                </w:tcPr>
                <w:p w14:paraId="7C3FE24D">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lang w:eastAsia="zh-CN"/>
                    </w:rPr>
                  </w:pPr>
                  <w:r>
                    <w:rPr>
                      <w:rFonts w:ascii="Times New Roman" w:hAnsi="Times New Roman" w:cs="Times New Roman"/>
                      <w:spacing w:val="4"/>
                      <w:sz w:val="21"/>
                      <w:szCs w:val="21"/>
                    </w:rPr>
                    <w:t>加强采矿管理、禁止在野骆驼保护区缓冲区</w:t>
                  </w:r>
                  <w:r>
                    <w:rPr>
                      <w:rFonts w:ascii="Times New Roman" w:hAnsi="Times New Roman" w:cs="Times New Roman"/>
                      <w:spacing w:val="4"/>
                      <w:sz w:val="21"/>
                      <w:szCs w:val="21"/>
                      <w:lang w:eastAsia="zh-CN"/>
                    </w:rPr>
                    <w:t>内进行开发活动</w:t>
                  </w:r>
                </w:p>
              </w:tc>
            </w:tr>
            <w:tr w14:paraId="7A4B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2"/>
                </w:tcPr>
                <w:p w14:paraId="2F006208">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适宜发展方向</w:t>
                  </w:r>
                </w:p>
              </w:tc>
              <w:tc>
                <w:tcPr>
                  <w:tcW w:w="6235" w:type="dxa"/>
                  <w:gridSpan w:val="2"/>
                </w:tcPr>
                <w:p w14:paraId="7017DA9C">
                  <w:pPr>
                    <w:pStyle w:val="30"/>
                    <w:keepNext w:val="0"/>
                    <w:keepLines w:val="0"/>
                    <w:suppressLineNumbers w:val="0"/>
                    <w:spacing w:before="190" w:beforeAutospacing="0" w:after="0" w:afterAutospacing="0" w:line="227" w:lineRule="auto"/>
                    <w:ind w:left="0" w:right="0"/>
                    <w:rPr>
                      <w:rFonts w:ascii="Times New Roman" w:hAnsi="Times New Roman" w:cs="Times New Roman"/>
                      <w:spacing w:val="4"/>
                      <w:sz w:val="21"/>
                      <w:szCs w:val="21"/>
                    </w:rPr>
                  </w:pPr>
                  <w:r>
                    <w:rPr>
                      <w:rFonts w:ascii="Times New Roman" w:hAnsi="Times New Roman" w:cs="Times New Roman"/>
                      <w:spacing w:val="4"/>
                      <w:sz w:val="21"/>
                      <w:szCs w:val="21"/>
                    </w:rPr>
                    <w:t>维护自然生态环境，合理发展矿业</w:t>
                  </w:r>
                </w:p>
              </w:tc>
            </w:tr>
          </w:tbl>
          <w:p w14:paraId="2EEBD294">
            <w:pPr>
              <w:keepNext w:val="0"/>
              <w:keepLines w:val="0"/>
              <w:pageBreakBefore w:val="0"/>
              <w:widowControl w:val="0"/>
              <w:kinsoku/>
              <w:wordWrap/>
              <w:overflowPunct/>
              <w:topLinePunct w:val="0"/>
              <w:autoSpaceDE/>
              <w:autoSpaceDN/>
              <w:bidi w:val="0"/>
              <w:adjustRightInd/>
              <w:snapToGrid w:val="0"/>
              <w:spacing w:before="157" w:beforeLines="50" w:line="360" w:lineRule="auto"/>
              <w:contextualSpacing/>
              <w:textAlignment w:val="auto"/>
              <w:rPr>
                <w:rFonts w:hAnsi="宋体"/>
                <w:b/>
                <w:bCs/>
                <w:sz w:val="24"/>
              </w:rPr>
            </w:pPr>
            <w:bookmarkStart w:id="2" w:name="_Toc444173863"/>
            <w:bookmarkStart w:id="3" w:name="_Toc444174050"/>
            <w:bookmarkStart w:id="4" w:name="_Toc25729"/>
            <w:bookmarkStart w:id="5" w:name="_Toc14593"/>
            <w:bookmarkStart w:id="6" w:name="_Toc20500"/>
            <w:r>
              <w:rPr>
                <w:rFonts w:hint="eastAsia" w:hAnsi="宋体"/>
                <w:b/>
                <w:bCs/>
                <w:sz w:val="24"/>
              </w:rPr>
              <w:t>2.1生态环境现状调查与评价</w:t>
            </w:r>
          </w:p>
          <w:p w14:paraId="5312CBF9">
            <w:pPr>
              <w:snapToGrid w:val="0"/>
              <w:spacing w:line="360" w:lineRule="auto"/>
              <w:ind w:firstLine="480" w:firstLineChars="200"/>
              <w:contextualSpacing/>
              <w:rPr>
                <w:rFonts w:hAnsi="宋体"/>
                <w:sz w:val="24"/>
              </w:rPr>
            </w:pPr>
            <w:r>
              <w:rPr>
                <w:rFonts w:hint="eastAsia" w:hAnsi="宋体"/>
                <w:sz w:val="24"/>
              </w:rPr>
              <w:t>（1）</w:t>
            </w:r>
            <w:r>
              <w:rPr>
                <w:rFonts w:hAnsi="宋体"/>
                <w:sz w:val="24"/>
              </w:rPr>
              <w:t>土地利用</w:t>
            </w:r>
            <w:bookmarkEnd w:id="2"/>
            <w:bookmarkEnd w:id="3"/>
            <w:r>
              <w:rPr>
                <w:rFonts w:hAnsi="宋体"/>
                <w:sz w:val="24"/>
              </w:rPr>
              <w:t>类型</w:t>
            </w:r>
            <w:bookmarkEnd w:id="4"/>
            <w:bookmarkEnd w:id="5"/>
            <w:bookmarkEnd w:id="6"/>
          </w:p>
          <w:p w14:paraId="663EB91E">
            <w:pPr>
              <w:snapToGrid w:val="0"/>
              <w:spacing w:line="360" w:lineRule="auto"/>
              <w:ind w:firstLine="480" w:firstLineChars="200"/>
              <w:contextualSpacing/>
              <w:rPr>
                <w:rFonts w:hAnsi="宋体"/>
                <w:sz w:val="24"/>
              </w:rPr>
            </w:pPr>
            <w:r>
              <w:rPr>
                <w:rFonts w:hAnsi="宋体"/>
                <w:sz w:val="24"/>
              </w:rPr>
              <w:t>结合遥感技术和地理信息系统（GIS）技术方法采用遥感数据分析以及现场踏勘，即以LandsetTM8卫星接收到的30m左右的高分辨率影像为基础，采用图形叠加法对评价范围内的生态环境现状进行分析，即将遥感影像与项目区进行叠加，并参照《土地利用现状分类标准（GBT 21010-2017）》</w:t>
            </w:r>
            <w:r>
              <w:rPr>
                <w:rFonts w:hint="eastAsia" w:hAnsi="宋体"/>
                <w:sz w:val="24"/>
              </w:rPr>
              <w:t>进行</w:t>
            </w:r>
            <w:r>
              <w:rPr>
                <w:rFonts w:hAnsi="宋体"/>
                <w:sz w:val="24"/>
              </w:rPr>
              <w:t>土地利用类型</w:t>
            </w:r>
            <w:r>
              <w:rPr>
                <w:rFonts w:hint="eastAsia" w:hAnsi="宋体"/>
                <w:sz w:val="24"/>
              </w:rPr>
              <w:t>划分</w:t>
            </w:r>
            <w:r>
              <w:rPr>
                <w:rFonts w:hAnsi="宋体"/>
                <w:sz w:val="24"/>
              </w:rPr>
              <w:t>，将成果绘制成土地利用现状图。</w:t>
            </w:r>
          </w:p>
          <w:p w14:paraId="72B62050">
            <w:pPr>
              <w:snapToGrid w:val="0"/>
              <w:spacing w:line="360" w:lineRule="auto"/>
              <w:ind w:firstLine="480" w:firstLineChars="200"/>
              <w:contextualSpacing/>
              <w:rPr>
                <w:rFonts w:hAnsi="宋体"/>
                <w:sz w:val="24"/>
              </w:rPr>
            </w:pPr>
            <w:r>
              <w:rPr>
                <w:rFonts w:hAnsi="宋体"/>
                <w:sz w:val="24"/>
              </w:rPr>
              <w:t>本项目所在区域土地利用类型</w:t>
            </w:r>
            <w:r>
              <w:rPr>
                <w:rFonts w:hint="eastAsia" w:hAnsi="宋体"/>
                <w:sz w:val="24"/>
              </w:rPr>
              <w:t>为戈壁</w:t>
            </w:r>
            <w:r>
              <w:rPr>
                <w:rFonts w:hAnsi="宋体"/>
                <w:sz w:val="24"/>
              </w:rPr>
              <w:t>，具体见下表。</w:t>
            </w:r>
          </w:p>
          <w:p w14:paraId="506D1A2B">
            <w:pPr>
              <w:snapToGrid w:val="0"/>
              <w:contextualSpacing/>
              <w:jc w:val="center"/>
              <w:rPr>
                <w:rFonts w:hAnsi="宋体"/>
                <w:sz w:val="21"/>
                <w:szCs w:val="21"/>
              </w:rPr>
            </w:pPr>
            <w:r>
              <w:rPr>
                <w:rFonts w:hAnsi="宋体"/>
                <w:b/>
                <w:bCs/>
                <w:sz w:val="21"/>
                <w:szCs w:val="21"/>
              </w:rPr>
              <w:t>表</w:t>
            </w:r>
            <w:r>
              <w:rPr>
                <w:rFonts w:hint="eastAsia" w:hAnsi="宋体"/>
                <w:b/>
                <w:bCs/>
                <w:sz w:val="21"/>
                <w:szCs w:val="21"/>
              </w:rPr>
              <w:t>3-2</w:t>
            </w:r>
            <w:r>
              <w:rPr>
                <w:rFonts w:hint="eastAsia" w:hAnsi="宋体"/>
                <w:b/>
                <w:bCs/>
                <w:sz w:val="21"/>
                <w:szCs w:val="21"/>
                <w:lang w:val="en-US" w:eastAsia="zh-CN"/>
              </w:rPr>
              <w:t xml:space="preserve"> </w:t>
            </w:r>
            <w:r>
              <w:rPr>
                <w:rFonts w:hint="eastAsia" w:hAnsi="宋体"/>
                <w:b/>
                <w:bCs/>
                <w:sz w:val="21"/>
                <w:szCs w:val="21"/>
              </w:rPr>
              <w:t xml:space="preserve">  本项目</w:t>
            </w:r>
            <w:r>
              <w:rPr>
                <w:rFonts w:hAnsi="宋体"/>
                <w:b/>
                <w:bCs/>
                <w:sz w:val="21"/>
                <w:szCs w:val="21"/>
              </w:rPr>
              <w:t>评价范围土地利用现状统计表</w:t>
            </w:r>
          </w:p>
          <w:tbl>
            <w:tblPr>
              <w:tblStyle w:val="21"/>
              <w:tblW w:w="4937" w:type="pct"/>
              <w:jc w:val="center"/>
              <w:tblLayout w:type="fixed"/>
              <w:tblCellMar>
                <w:top w:w="0" w:type="dxa"/>
                <w:left w:w="108" w:type="dxa"/>
                <w:bottom w:w="0" w:type="dxa"/>
                <w:right w:w="108" w:type="dxa"/>
              </w:tblCellMar>
            </w:tblPr>
            <w:tblGrid>
              <w:gridCol w:w="1629"/>
              <w:gridCol w:w="1957"/>
              <w:gridCol w:w="2852"/>
              <w:gridCol w:w="2194"/>
            </w:tblGrid>
            <w:tr w14:paraId="394886FA">
              <w:tblPrEx>
                <w:tblCellMar>
                  <w:top w:w="0" w:type="dxa"/>
                  <w:left w:w="108" w:type="dxa"/>
                  <w:bottom w:w="0" w:type="dxa"/>
                  <w:right w:w="108" w:type="dxa"/>
                </w:tblCellMar>
              </w:tblPrEx>
              <w:trPr>
                <w:trHeight w:val="350" w:hRule="atLeast"/>
                <w:jc w:val="center"/>
              </w:trPr>
              <w:tc>
                <w:tcPr>
                  <w:tcW w:w="2076" w:type="pct"/>
                  <w:gridSpan w:val="2"/>
                  <w:tcBorders>
                    <w:top w:val="single" w:color="auto" w:sz="4" w:space="0"/>
                    <w:left w:val="single" w:color="auto" w:sz="4" w:space="0"/>
                    <w:bottom w:val="single" w:color="auto" w:sz="4" w:space="0"/>
                    <w:right w:val="single" w:color="auto" w:sz="4" w:space="0"/>
                  </w:tcBorders>
                  <w:noWrap/>
                  <w:vAlign w:val="center"/>
                </w:tcPr>
                <w:p w14:paraId="700850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jc w:val="center"/>
                    <w:textAlignment w:val="auto"/>
                    <w:rPr>
                      <w:rFonts w:hAnsi="宋体"/>
                      <w:bCs/>
                      <w:szCs w:val="21"/>
                    </w:rPr>
                  </w:pPr>
                  <w:r>
                    <w:rPr>
                      <w:rFonts w:ascii="Times New Roman" w:hAnsi="Times New Roman" w:cs="Times New Roman"/>
                      <w:spacing w:val="4"/>
                      <w:sz w:val="21"/>
                      <w:szCs w:val="21"/>
                    </w:rPr>
                    <w:t>类型</w:t>
                  </w:r>
                </w:p>
              </w:tc>
              <w:tc>
                <w:tcPr>
                  <w:tcW w:w="1652" w:type="pct"/>
                  <w:vMerge w:val="restart"/>
                  <w:tcBorders>
                    <w:top w:val="single" w:color="auto" w:sz="4" w:space="0"/>
                    <w:left w:val="single" w:color="auto" w:sz="4" w:space="0"/>
                    <w:right w:val="single" w:color="auto" w:sz="4" w:space="0"/>
                  </w:tcBorders>
                  <w:noWrap/>
                  <w:vAlign w:val="center"/>
                </w:tcPr>
                <w:p w14:paraId="64C585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jc w:val="center"/>
                    <w:textAlignment w:val="auto"/>
                    <w:rPr>
                      <w:rFonts w:ascii="Times New Roman" w:hAnsi="Times New Roman" w:cs="Times New Roman"/>
                      <w:spacing w:val="4"/>
                      <w:sz w:val="21"/>
                      <w:szCs w:val="21"/>
                    </w:rPr>
                  </w:pPr>
                  <w:r>
                    <w:rPr>
                      <w:rFonts w:ascii="Times New Roman" w:hAnsi="Times New Roman" w:cs="Times New Roman"/>
                      <w:spacing w:val="4"/>
                      <w:sz w:val="21"/>
                      <w:szCs w:val="21"/>
                    </w:rPr>
                    <w:t>面积（m</w:t>
                  </w:r>
                  <w:r>
                    <w:rPr>
                      <w:rFonts w:ascii="Times New Roman" w:hAnsi="Times New Roman" w:cs="Times New Roman"/>
                      <w:spacing w:val="4"/>
                      <w:sz w:val="21"/>
                      <w:szCs w:val="21"/>
                      <w:vertAlign w:val="superscript"/>
                    </w:rPr>
                    <w:t>2</w:t>
                  </w:r>
                  <w:r>
                    <w:rPr>
                      <w:rFonts w:ascii="Times New Roman" w:hAnsi="Times New Roman" w:cs="Times New Roman"/>
                      <w:spacing w:val="4"/>
                      <w:sz w:val="21"/>
                      <w:szCs w:val="21"/>
                    </w:rPr>
                    <w:t>）</w:t>
                  </w:r>
                </w:p>
              </w:tc>
              <w:tc>
                <w:tcPr>
                  <w:tcW w:w="1271" w:type="pct"/>
                  <w:vMerge w:val="restart"/>
                  <w:tcBorders>
                    <w:top w:val="single" w:color="auto" w:sz="4" w:space="0"/>
                    <w:left w:val="single" w:color="auto" w:sz="4" w:space="0"/>
                    <w:right w:val="single" w:color="auto" w:sz="4" w:space="0"/>
                  </w:tcBorders>
                  <w:noWrap/>
                  <w:vAlign w:val="center"/>
                </w:tcPr>
                <w:p w14:paraId="22FC47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jc w:val="center"/>
                    <w:textAlignment w:val="auto"/>
                    <w:rPr>
                      <w:rFonts w:ascii="Times New Roman" w:hAnsi="Times New Roman" w:cs="Times New Roman"/>
                      <w:spacing w:val="4"/>
                      <w:sz w:val="21"/>
                      <w:szCs w:val="21"/>
                    </w:rPr>
                  </w:pPr>
                  <w:r>
                    <w:rPr>
                      <w:rFonts w:ascii="Times New Roman" w:hAnsi="Times New Roman" w:cs="Times New Roman"/>
                      <w:spacing w:val="4"/>
                      <w:sz w:val="21"/>
                      <w:szCs w:val="21"/>
                    </w:rPr>
                    <w:t>百分比(%)</w:t>
                  </w:r>
                </w:p>
              </w:tc>
            </w:tr>
            <w:tr w14:paraId="3D6AAB0B">
              <w:tblPrEx>
                <w:tblCellMar>
                  <w:top w:w="0" w:type="dxa"/>
                  <w:left w:w="108" w:type="dxa"/>
                  <w:bottom w:w="0" w:type="dxa"/>
                  <w:right w:w="108" w:type="dxa"/>
                </w:tblCellMar>
              </w:tblPrEx>
              <w:trPr>
                <w:trHeight w:val="299" w:hRule="atLeast"/>
                <w:jc w:val="center"/>
              </w:trPr>
              <w:tc>
                <w:tcPr>
                  <w:tcW w:w="944" w:type="pct"/>
                  <w:tcBorders>
                    <w:top w:val="single" w:color="auto" w:sz="4" w:space="0"/>
                    <w:left w:val="single" w:color="auto" w:sz="4" w:space="0"/>
                    <w:bottom w:val="single" w:color="auto" w:sz="4" w:space="0"/>
                    <w:right w:val="single" w:color="auto" w:sz="4" w:space="0"/>
                  </w:tcBorders>
                  <w:noWrap/>
                  <w:vAlign w:val="center"/>
                </w:tcPr>
                <w:p w14:paraId="4F73BC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textAlignment w:val="auto"/>
                    <w:rPr>
                      <w:rFonts w:ascii="Times New Roman" w:hAnsi="Times New Roman" w:cs="Times New Roman"/>
                      <w:spacing w:val="4"/>
                      <w:sz w:val="21"/>
                      <w:szCs w:val="21"/>
                    </w:rPr>
                  </w:pPr>
                  <w:r>
                    <w:rPr>
                      <w:rFonts w:ascii="Times New Roman" w:hAnsi="Times New Roman" w:cs="Times New Roman"/>
                      <w:spacing w:val="4"/>
                      <w:sz w:val="21"/>
                      <w:szCs w:val="21"/>
                    </w:rPr>
                    <w:t>一级类</w:t>
                  </w:r>
                </w:p>
              </w:tc>
              <w:tc>
                <w:tcPr>
                  <w:tcW w:w="1132" w:type="pct"/>
                  <w:tcBorders>
                    <w:top w:val="single" w:color="auto" w:sz="4" w:space="0"/>
                    <w:left w:val="single" w:color="auto" w:sz="4" w:space="0"/>
                    <w:bottom w:val="single" w:color="auto" w:sz="4" w:space="0"/>
                    <w:right w:val="single" w:color="auto" w:sz="4" w:space="0"/>
                  </w:tcBorders>
                  <w:noWrap/>
                  <w:vAlign w:val="center"/>
                </w:tcPr>
                <w:p w14:paraId="04BED2B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textAlignment w:val="auto"/>
                    <w:rPr>
                      <w:rFonts w:ascii="Times New Roman" w:hAnsi="Times New Roman" w:cs="Times New Roman"/>
                      <w:spacing w:val="4"/>
                      <w:sz w:val="21"/>
                      <w:szCs w:val="21"/>
                    </w:rPr>
                  </w:pPr>
                  <w:r>
                    <w:rPr>
                      <w:rFonts w:ascii="Times New Roman" w:hAnsi="Times New Roman" w:cs="Times New Roman"/>
                      <w:spacing w:val="4"/>
                      <w:sz w:val="21"/>
                      <w:szCs w:val="21"/>
                    </w:rPr>
                    <w:t>二级类及代码</w:t>
                  </w:r>
                </w:p>
              </w:tc>
              <w:tc>
                <w:tcPr>
                  <w:tcW w:w="1652" w:type="pct"/>
                  <w:vMerge w:val="continue"/>
                  <w:tcBorders>
                    <w:left w:val="single" w:color="auto" w:sz="4" w:space="0"/>
                    <w:bottom w:val="single" w:color="auto" w:sz="4" w:space="0"/>
                    <w:right w:val="single" w:color="auto" w:sz="4" w:space="0"/>
                  </w:tcBorders>
                  <w:noWrap/>
                  <w:vAlign w:val="center"/>
                </w:tcPr>
                <w:p w14:paraId="03C6E041">
                  <w:pPr>
                    <w:keepNext w:val="0"/>
                    <w:keepLines w:val="0"/>
                    <w:widowControl/>
                    <w:suppressLineNumbers w:val="0"/>
                    <w:spacing w:before="0" w:beforeAutospacing="0" w:after="0" w:afterAutospacing="0" w:line="240" w:lineRule="exact"/>
                    <w:ind w:left="0" w:right="0"/>
                    <w:jc w:val="center"/>
                    <w:textAlignment w:val="bottom"/>
                    <w:rPr>
                      <w:rFonts w:hAnsi="宋体"/>
                      <w:bCs/>
                      <w:szCs w:val="21"/>
                    </w:rPr>
                  </w:pPr>
                </w:p>
              </w:tc>
              <w:tc>
                <w:tcPr>
                  <w:tcW w:w="1271" w:type="pct"/>
                  <w:vMerge w:val="continue"/>
                  <w:tcBorders>
                    <w:left w:val="single" w:color="auto" w:sz="4" w:space="0"/>
                    <w:bottom w:val="single" w:color="auto" w:sz="4" w:space="0"/>
                    <w:right w:val="single" w:color="auto" w:sz="4" w:space="0"/>
                  </w:tcBorders>
                  <w:noWrap/>
                  <w:vAlign w:val="center"/>
                </w:tcPr>
                <w:p w14:paraId="3E0011F2">
                  <w:pPr>
                    <w:keepNext w:val="0"/>
                    <w:keepLines w:val="0"/>
                    <w:widowControl/>
                    <w:suppressLineNumbers w:val="0"/>
                    <w:spacing w:before="0" w:beforeAutospacing="0" w:after="0" w:afterAutospacing="0" w:line="240" w:lineRule="exact"/>
                    <w:ind w:left="0" w:right="0"/>
                    <w:jc w:val="center"/>
                    <w:textAlignment w:val="bottom"/>
                    <w:rPr>
                      <w:rFonts w:hAnsi="宋体"/>
                      <w:bCs/>
                      <w:szCs w:val="21"/>
                    </w:rPr>
                  </w:pPr>
                </w:p>
              </w:tc>
            </w:tr>
            <w:tr w14:paraId="1EC1CA70">
              <w:tblPrEx>
                <w:tblCellMar>
                  <w:top w:w="0" w:type="dxa"/>
                  <w:left w:w="108" w:type="dxa"/>
                  <w:bottom w:w="0" w:type="dxa"/>
                  <w:right w:w="108" w:type="dxa"/>
                </w:tblCellMar>
              </w:tblPrEx>
              <w:trPr>
                <w:trHeight w:val="287" w:hRule="atLeast"/>
                <w:jc w:val="center"/>
              </w:trPr>
              <w:tc>
                <w:tcPr>
                  <w:tcW w:w="944" w:type="pct"/>
                  <w:tcBorders>
                    <w:left w:val="single" w:color="auto" w:sz="4" w:space="0"/>
                    <w:bottom w:val="single" w:color="auto" w:sz="4" w:space="0"/>
                    <w:right w:val="single" w:color="auto" w:sz="4" w:space="0"/>
                  </w:tcBorders>
                  <w:noWrap/>
                  <w:vAlign w:val="center"/>
                </w:tcPr>
                <w:p w14:paraId="7BF45A4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textAlignment w:val="auto"/>
                    <w:rPr>
                      <w:rFonts w:ascii="Times New Roman" w:hAnsi="Times New Roman" w:cs="Times New Roman"/>
                      <w:spacing w:val="4"/>
                      <w:sz w:val="21"/>
                      <w:szCs w:val="21"/>
                    </w:rPr>
                  </w:pPr>
                  <w:r>
                    <w:rPr>
                      <w:rFonts w:hint="eastAsia" w:ascii="Times New Roman" w:hAnsi="Times New Roman" w:cs="Times New Roman"/>
                      <w:spacing w:val="4"/>
                      <w:sz w:val="21"/>
                      <w:szCs w:val="21"/>
                    </w:rPr>
                    <w:t>未利用地</w:t>
                  </w:r>
                </w:p>
              </w:tc>
              <w:tc>
                <w:tcPr>
                  <w:tcW w:w="1132" w:type="pct"/>
                  <w:tcBorders>
                    <w:top w:val="single" w:color="auto" w:sz="4" w:space="0"/>
                    <w:left w:val="single" w:color="auto" w:sz="4" w:space="0"/>
                    <w:bottom w:val="single" w:color="auto" w:sz="4" w:space="0"/>
                    <w:right w:val="single" w:color="auto" w:sz="4" w:space="0"/>
                  </w:tcBorders>
                  <w:noWrap/>
                  <w:vAlign w:val="center"/>
                </w:tcPr>
                <w:p w14:paraId="3C17608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textAlignment w:val="auto"/>
                    <w:rPr>
                      <w:rFonts w:ascii="Times New Roman" w:hAnsi="Times New Roman" w:cs="Times New Roman"/>
                      <w:spacing w:val="4"/>
                      <w:sz w:val="21"/>
                      <w:szCs w:val="21"/>
                    </w:rPr>
                  </w:pPr>
                  <w:r>
                    <w:rPr>
                      <w:rFonts w:hint="eastAsia" w:ascii="Times New Roman" w:hAnsi="Times New Roman" w:cs="Times New Roman"/>
                      <w:spacing w:val="4"/>
                      <w:sz w:val="21"/>
                      <w:szCs w:val="21"/>
                    </w:rPr>
                    <w:t>1207 裸岩石砾地</w:t>
                  </w:r>
                </w:p>
              </w:tc>
              <w:tc>
                <w:tcPr>
                  <w:tcW w:w="1652" w:type="pct"/>
                  <w:tcBorders>
                    <w:top w:val="single" w:color="auto" w:sz="4" w:space="0"/>
                    <w:left w:val="single" w:color="auto" w:sz="4" w:space="0"/>
                    <w:bottom w:val="single" w:color="auto" w:sz="4" w:space="0"/>
                    <w:right w:val="single" w:color="auto" w:sz="4" w:space="0"/>
                  </w:tcBorders>
                  <w:noWrap/>
                  <w:vAlign w:val="center"/>
                </w:tcPr>
                <w:p w14:paraId="5934C8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jc w:val="center"/>
                    <w:textAlignment w:val="auto"/>
                    <w:rPr>
                      <w:rFonts w:ascii="Times New Roman" w:hAnsi="Times New Roman" w:cs="Times New Roman"/>
                      <w:spacing w:val="4"/>
                      <w:sz w:val="21"/>
                      <w:szCs w:val="21"/>
                    </w:rPr>
                  </w:pPr>
                  <w:r>
                    <w:rPr>
                      <w:rFonts w:hint="eastAsia" w:ascii="Times New Roman" w:hAnsi="Times New Roman" w:cs="Times New Roman"/>
                      <w:spacing w:val="4"/>
                      <w:sz w:val="21"/>
                      <w:szCs w:val="21"/>
                    </w:rPr>
                    <w:t>3981849</w:t>
                  </w:r>
                </w:p>
              </w:tc>
              <w:tc>
                <w:tcPr>
                  <w:tcW w:w="1271" w:type="pct"/>
                  <w:tcBorders>
                    <w:top w:val="single" w:color="auto" w:sz="4" w:space="0"/>
                    <w:left w:val="single" w:color="auto" w:sz="4" w:space="0"/>
                    <w:bottom w:val="single" w:color="auto" w:sz="4" w:space="0"/>
                    <w:right w:val="single" w:color="auto" w:sz="4" w:space="0"/>
                  </w:tcBorders>
                  <w:noWrap/>
                  <w:vAlign w:val="center"/>
                </w:tcPr>
                <w:p w14:paraId="613066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right="0"/>
                    <w:jc w:val="center"/>
                    <w:textAlignment w:val="auto"/>
                    <w:rPr>
                      <w:rFonts w:ascii="Times New Roman" w:hAnsi="Times New Roman" w:cs="Times New Roman"/>
                      <w:spacing w:val="4"/>
                      <w:sz w:val="21"/>
                      <w:szCs w:val="21"/>
                    </w:rPr>
                  </w:pPr>
                  <w:r>
                    <w:rPr>
                      <w:rFonts w:hint="eastAsia" w:ascii="Times New Roman" w:hAnsi="Times New Roman" w:cs="Times New Roman"/>
                      <w:spacing w:val="4"/>
                      <w:sz w:val="21"/>
                      <w:szCs w:val="21"/>
                    </w:rPr>
                    <w:t>100</w:t>
                  </w:r>
                </w:p>
              </w:tc>
            </w:tr>
          </w:tbl>
          <w:p w14:paraId="34818E7E">
            <w:pPr>
              <w:snapToGrid w:val="0"/>
              <w:spacing w:line="360" w:lineRule="auto"/>
              <w:ind w:firstLine="480" w:firstLineChars="200"/>
              <w:contextualSpacing/>
              <w:rPr>
                <w:rFonts w:hAnsi="宋体"/>
                <w:sz w:val="24"/>
              </w:rPr>
            </w:pPr>
            <w:r>
              <w:rPr>
                <w:rFonts w:hint="eastAsia" w:hAnsi="宋体"/>
                <w:sz w:val="24"/>
              </w:rPr>
              <w:t>（2）</w:t>
            </w:r>
            <w:r>
              <w:rPr>
                <w:rFonts w:hAnsi="宋体"/>
                <w:sz w:val="24"/>
              </w:rPr>
              <w:t>土壤类型及分布</w:t>
            </w:r>
          </w:p>
          <w:p w14:paraId="2A4E68F9">
            <w:pPr>
              <w:snapToGrid w:val="0"/>
              <w:spacing w:line="360" w:lineRule="auto"/>
              <w:ind w:firstLine="480" w:firstLineChars="200"/>
              <w:contextualSpacing/>
              <w:rPr>
                <w:rFonts w:hAnsi="宋体"/>
                <w:sz w:val="24"/>
              </w:rPr>
            </w:pPr>
            <w:r>
              <w:rPr>
                <w:rFonts w:hAnsi="宋体"/>
                <w:sz w:val="24"/>
              </w:rPr>
              <w:t>结合遥感技术和地理信息系统（GIS）技术方法采用遥感数据分析以及现场踏勘，即以LandsetTM8卫星接收到的30m左右的高分辨率影像为基础，采用图形叠加法对评价范围内的生态环境现状进行分析，即将遥感影像与项目区进行叠加，根据《中国土壤分类与代码》（GB/T17296-2009）中的分类，将成果绘制成土壤类型分布图。</w:t>
            </w:r>
          </w:p>
          <w:p w14:paraId="5D778705">
            <w:pPr>
              <w:snapToGrid w:val="0"/>
              <w:spacing w:line="360" w:lineRule="auto"/>
              <w:ind w:firstLine="480" w:firstLineChars="200"/>
              <w:contextualSpacing/>
              <w:rPr>
                <w:rFonts w:hAnsi="宋体"/>
                <w:sz w:val="24"/>
              </w:rPr>
            </w:pPr>
            <w:r>
              <w:rPr>
                <w:rFonts w:hAnsi="宋体"/>
                <w:sz w:val="24"/>
              </w:rPr>
              <w:t>本项目所在区域土壤类型</w:t>
            </w:r>
            <w:r>
              <w:rPr>
                <w:rFonts w:hint="eastAsia" w:hAnsi="宋体"/>
                <w:sz w:val="24"/>
              </w:rPr>
              <w:t>为石膏灰棕漠土。</w:t>
            </w:r>
          </w:p>
          <w:p w14:paraId="3BA01383">
            <w:pPr>
              <w:snapToGrid w:val="0"/>
              <w:spacing w:line="360" w:lineRule="auto"/>
              <w:ind w:firstLine="482" w:firstLineChars="200"/>
              <w:contextualSpacing/>
              <w:rPr>
                <w:rFonts w:hAnsi="宋体"/>
                <w:b/>
                <w:sz w:val="24"/>
              </w:rPr>
            </w:pPr>
            <w:r>
              <w:rPr>
                <w:rFonts w:hAnsi="宋体"/>
                <w:b/>
                <w:sz w:val="24"/>
              </w:rPr>
              <w:t>土壤特征</w:t>
            </w:r>
            <w:r>
              <w:rPr>
                <w:rFonts w:hint="eastAsia" w:hAnsi="宋体"/>
                <w:b/>
                <w:sz w:val="24"/>
              </w:rPr>
              <w:t>：</w:t>
            </w:r>
          </w:p>
          <w:p w14:paraId="26F68105">
            <w:pPr>
              <w:snapToGrid w:val="0"/>
              <w:spacing w:line="360" w:lineRule="auto"/>
              <w:ind w:firstLine="480" w:firstLineChars="200"/>
              <w:contextualSpacing/>
              <w:rPr>
                <w:rFonts w:hAnsi="宋体"/>
                <w:sz w:val="24"/>
              </w:rPr>
            </w:pPr>
            <w:r>
              <w:rPr>
                <w:rFonts w:hint="eastAsia" w:ascii="宋体" w:hAnsi="宋体"/>
                <w:sz w:val="24"/>
              </w:rPr>
              <w:t>石膏灰棕漠土</w:t>
            </w:r>
            <w:r>
              <w:rPr>
                <w:rFonts w:ascii="宋体" w:hAnsi="宋体"/>
                <w:sz w:val="24"/>
              </w:rPr>
              <w:t>也称灰棕色荒漠土，为温带荒漠地区的土壤，是温带漠境气候条件下粗骨母质上发育的地带性土壤。有机质含量低，介于灰漠土和棕漠土之间</w:t>
            </w:r>
            <w:r>
              <w:rPr>
                <w:rFonts w:hint="eastAsia" w:ascii="宋体" w:hAnsi="宋体"/>
                <w:sz w:val="24"/>
              </w:rPr>
              <w:t>。</w:t>
            </w:r>
            <w:r>
              <w:rPr>
                <w:rFonts w:ascii="宋体" w:hAnsi="宋体"/>
                <w:sz w:val="24"/>
              </w:rPr>
              <w:t>其成土过程表现为石灰的表聚作用、石膏和易溶性盐的聚积、残积粘化和铁质化作用。地表为一片黑色砾漠，表层为发育良好的灰色或浅灰色多孔状结皮，厚</w:t>
            </w:r>
            <w:r>
              <w:rPr>
                <w:sz w:val="24"/>
              </w:rPr>
              <w:t>1-2</w:t>
            </w:r>
            <w:r>
              <w:rPr>
                <w:rFonts w:hint="eastAsia" w:ascii="宋体" w:hAnsi="宋体"/>
                <w:sz w:val="24"/>
                <w:lang w:val="en-US" w:eastAsia="zh-CN"/>
              </w:rPr>
              <w:t>cm</w:t>
            </w:r>
            <w:r>
              <w:rPr>
                <w:rFonts w:ascii="宋体" w:hAnsi="宋体"/>
                <w:sz w:val="24"/>
              </w:rPr>
              <w:t>；其下为褐棕色或浅紧实层，厚</w:t>
            </w:r>
            <w:r>
              <w:rPr>
                <w:sz w:val="24"/>
              </w:rPr>
              <w:t>3</w:t>
            </w:r>
            <w:r>
              <w:rPr>
                <w:rFonts w:hint="eastAsia"/>
                <w:sz w:val="24"/>
              </w:rPr>
              <w:t>-</w:t>
            </w:r>
            <w:r>
              <w:rPr>
                <w:sz w:val="24"/>
              </w:rPr>
              <w:t>15</w:t>
            </w:r>
            <w:r>
              <w:rPr>
                <w:rFonts w:hint="eastAsia" w:ascii="宋体" w:hAnsi="宋体"/>
                <w:sz w:val="24"/>
                <w:lang w:val="en-US" w:eastAsia="zh-CN"/>
              </w:rPr>
              <w:t>cm</w:t>
            </w:r>
            <w:r>
              <w:rPr>
                <w:rFonts w:ascii="宋体" w:hAnsi="宋体"/>
                <w:sz w:val="24"/>
              </w:rPr>
              <w:t>，粘化明显，多呈块状或团块状结构；再下为石膏与盐分聚积层。腐殖质累积极不明显，表层有机质含量</w:t>
            </w:r>
            <w:r>
              <w:rPr>
                <w:sz w:val="24"/>
              </w:rPr>
              <w:t>&lt;0.5%</w:t>
            </w:r>
            <w:r>
              <w:rPr>
                <w:rFonts w:ascii="宋体" w:hAnsi="宋体"/>
                <w:sz w:val="24"/>
              </w:rPr>
              <w:t>，胡敏酸与富里酸比值为</w:t>
            </w:r>
            <w:r>
              <w:rPr>
                <w:sz w:val="24"/>
              </w:rPr>
              <w:t>2-4</w:t>
            </w:r>
            <w:r>
              <w:rPr>
                <w:rFonts w:ascii="宋体" w:hAnsi="宋体"/>
                <w:sz w:val="24"/>
              </w:rPr>
              <w:t>；表层或亚表层石灰含量达</w:t>
            </w:r>
            <w:r>
              <w:rPr>
                <w:sz w:val="24"/>
              </w:rPr>
              <w:t>7</w:t>
            </w:r>
            <w:r>
              <w:rPr>
                <w:rFonts w:hint="eastAsia"/>
                <w:sz w:val="24"/>
              </w:rPr>
              <w:t>%～</w:t>
            </w:r>
            <w:r>
              <w:rPr>
                <w:sz w:val="24"/>
              </w:rPr>
              <w:t>9%</w:t>
            </w:r>
            <w:r>
              <w:rPr>
                <w:rFonts w:ascii="宋体" w:hAnsi="宋体"/>
                <w:sz w:val="24"/>
              </w:rPr>
              <w:t>，向下急剧减少；石膏聚积层的石膏含量可达</w:t>
            </w:r>
            <w:r>
              <w:rPr>
                <w:sz w:val="24"/>
              </w:rPr>
              <w:t>20%</w:t>
            </w:r>
            <w:r>
              <w:rPr>
                <w:rFonts w:ascii="宋体" w:hAnsi="宋体"/>
                <w:sz w:val="24"/>
              </w:rPr>
              <w:t>以上，盐分含量达</w:t>
            </w:r>
            <w:r>
              <w:rPr>
                <w:sz w:val="24"/>
              </w:rPr>
              <w:t>1%</w:t>
            </w:r>
            <w:r>
              <w:rPr>
                <w:rFonts w:ascii="宋体" w:hAnsi="宋体"/>
                <w:sz w:val="24"/>
              </w:rPr>
              <w:t>以上，以硫酸盐为主。土壤呈碱性或强碱性反应，</w:t>
            </w:r>
            <w:r>
              <w:rPr>
                <w:sz w:val="24"/>
              </w:rPr>
              <w:t>pH</w:t>
            </w:r>
            <w:r>
              <w:rPr>
                <w:rFonts w:ascii="宋体" w:hAnsi="宋体"/>
                <w:sz w:val="24"/>
              </w:rPr>
              <w:t>值</w:t>
            </w:r>
            <w:r>
              <w:rPr>
                <w:sz w:val="24"/>
              </w:rPr>
              <w:t>8.0-9.5</w:t>
            </w:r>
            <w:r>
              <w:rPr>
                <w:rFonts w:ascii="宋体" w:hAnsi="宋体"/>
                <w:sz w:val="24"/>
              </w:rPr>
              <w:t>；交换量不超过</w:t>
            </w:r>
            <w:r>
              <w:rPr>
                <w:sz w:val="24"/>
              </w:rPr>
              <w:t>10</w:t>
            </w:r>
            <w:r>
              <w:rPr>
                <w:rFonts w:ascii="宋体" w:hAnsi="宋体"/>
                <w:sz w:val="24"/>
              </w:rPr>
              <w:t>毫克当量；粘粒硅铁铝率</w:t>
            </w:r>
            <w:r>
              <w:rPr>
                <w:sz w:val="24"/>
              </w:rPr>
              <w:t>3-3.4</w:t>
            </w:r>
            <w:r>
              <w:rPr>
                <w:rFonts w:ascii="宋体" w:hAnsi="宋体"/>
                <w:sz w:val="24"/>
              </w:rPr>
              <w:t>，</w:t>
            </w:r>
            <w:r>
              <w:rPr>
                <w:rFonts w:hint="eastAsia" w:ascii="宋体" w:hAnsi="宋体"/>
                <w:sz w:val="24"/>
              </w:rPr>
              <w:t>黏土矿</w:t>
            </w:r>
            <w:r>
              <w:rPr>
                <w:rFonts w:ascii="宋体" w:hAnsi="宋体"/>
                <w:sz w:val="24"/>
              </w:rPr>
              <w:t>物以水云母为主。</w:t>
            </w:r>
            <w:r>
              <w:rPr>
                <w:rFonts w:hint="eastAsia" w:ascii="宋体" w:hAnsi="宋体"/>
                <w:sz w:val="24"/>
              </w:rPr>
              <w:t>石膏灰棕漠土</w:t>
            </w:r>
            <w:r>
              <w:rPr>
                <w:rFonts w:hint="eastAsia" w:hAnsi="宋体"/>
                <w:sz w:val="24"/>
              </w:rPr>
              <w:t>多为砾质土，石砾含量常占土重</w:t>
            </w:r>
            <w:r>
              <w:rPr>
                <w:rFonts w:hint="eastAsia"/>
                <w:sz w:val="24"/>
              </w:rPr>
              <w:t>20%</w:t>
            </w:r>
            <w:r>
              <w:rPr>
                <w:rFonts w:hint="eastAsia" w:hAnsi="宋体"/>
                <w:sz w:val="24"/>
              </w:rPr>
              <w:t>至70%不等。</w:t>
            </w:r>
          </w:p>
          <w:p w14:paraId="1FD7095D">
            <w:pPr>
              <w:snapToGrid w:val="0"/>
              <w:spacing w:line="360" w:lineRule="auto"/>
              <w:ind w:firstLine="480" w:firstLineChars="200"/>
              <w:contextualSpacing/>
              <w:rPr>
                <w:rFonts w:hAnsi="宋体"/>
                <w:sz w:val="24"/>
              </w:rPr>
            </w:pPr>
            <w:r>
              <w:rPr>
                <w:rFonts w:hAnsi="宋体"/>
                <w:sz w:val="24"/>
              </w:rPr>
              <w:t>（</w:t>
            </w:r>
            <w:r>
              <w:rPr>
                <w:rFonts w:hint="eastAsia" w:hAnsi="宋体"/>
                <w:sz w:val="24"/>
              </w:rPr>
              <w:t>3</w:t>
            </w:r>
            <w:r>
              <w:rPr>
                <w:rFonts w:hAnsi="宋体"/>
                <w:sz w:val="24"/>
              </w:rPr>
              <w:t>）植被分布类型</w:t>
            </w:r>
          </w:p>
          <w:p w14:paraId="7702CEA7">
            <w:pPr>
              <w:snapToGrid w:val="0"/>
              <w:spacing w:line="360" w:lineRule="auto"/>
              <w:ind w:firstLine="480" w:firstLineChars="200"/>
              <w:contextualSpacing/>
              <w:rPr>
                <w:rFonts w:hAnsi="宋体"/>
                <w:sz w:val="24"/>
              </w:rPr>
            </w:pPr>
            <w:r>
              <w:rPr>
                <w:rFonts w:hAnsi="宋体"/>
                <w:sz w:val="24"/>
              </w:rPr>
              <w:t>结合遥感技术和地理信息系统（GIS）技术方法采用遥感数据分析以及现场踏勘，即以LandsetTM8卫星接收到的30m左右的高分辨率影像为基础，采用图形叠加法对评价范围内的生态环境现状进行分析，即将遥感影像与项目区进行叠加，将成果绘制成</w:t>
            </w:r>
            <w:r>
              <w:rPr>
                <w:rFonts w:hint="eastAsia" w:hAnsi="宋体"/>
                <w:sz w:val="24"/>
              </w:rPr>
              <w:t>植被</w:t>
            </w:r>
            <w:r>
              <w:rPr>
                <w:rFonts w:hAnsi="宋体"/>
                <w:sz w:val="24"/>
              </w:rPr>
              <w:t>类型图。</w:t>
            </w:r>
          </w:p>
          <w:p w14:paraId="40D27B5E">
            <w:pPr>
              <w:snapToGrid w:val="0"/>
              <w:spacing w:line="360" w:lineRule="auto"/>
              <w:ind w:firstLine="480" w:firstLineChars="200"/>
              <w:contextualSpacing/>
              <w:rPr>
                <w:rFonts w:hAnsi="宋体"/>
                <w:sz w:val="24"/>
              </w:rPr>
            </w:pPr>
            <w:r>
              <w:rPr>
                <w:rFonts w:hAnsi="宋体"/>
                <w:sz w:val="24"/>
              </w:rPr>
              <w:t>本项目所在区域植被类型为</w:t>
            </w:r>
            <w:r>
              <w:rPr>
                <w:rFonts w:hint="eastAsia" w:hAnsi="宋体"/>
                <w:sz w:val="24"/>
              </w:rPr>
              <w:t xml:space="preserve">：膜果麻黄荒漠植被，植被覆盖度1%左右。       </w:t>
            </w:r>
          </w:p>
          <w:p w14:paraId="50A8FF0E">
            <w:pPr>
              <w:snapToGrid w:val="0"/>
              <w:spacing w:line="360" w:lineRule="auto"/>
              <w:ind w:firstLine="480" w:firstLineChars="200"/>
              <w:contextualSpacing/>
              <w:rPr>
                <w:rFonts w:hAnsi="宋体"/>
                <w:sz w:val="24"/>
              </w:rPr>
            </w:pPr>
            <w:r>
              <w:rPr>
                <w:rFonts w:hAnsi="宋体"/>
                <w:sz w:val="24"/>
              </w:rPr>
              <w:t>根据现场调查和资料收集情况，</w:t>
            </w:r>
            <w:r>
              <w:rPr>
                <w:rFonts w:hint="eastAsia" w:hAnsi="宋体"/>
                <w:sz w:val="24"/>
              </w:rPr>
              <w:t>区域主要分布有膜果麻黄。</w:t>
            </w:r>
            <w:r>
              <w:rPr>
                <w:rFonts w:hAnsi="宋体"/>
                <w:sz w:val="24"/>
              </w:rPr>
              <w:t>经现场勘查，</w:t>
            </w:r>
            <w:r>
              <w:rPr>
                <w:rFonts w:hint="eastAsia" w:hAnsi="宋体"/>
                <w:sz w:val="24"/>
              </w:rPr>
              <w:t>项目区无重点保护的野生植物。</w:t>
            </w:r>
          </w:p>
          <w:p w14:paraId="46F9A0AE">
            <w:pPr>
              <w:pStyle w:val="33"/>
              <w:topLinePunct/>
              <w:autoSpaceDE w:val="0"/>
              <w:autoSpaceDN w:val="0"/>
              <w:snapToGrid w:val="0"/>
              <w:spacing w:line="240" w:lineRule="auto"/>
              <w:ind w:firstLine="0" w:firstLineChars="0"/>
              <w:jc w:val="center"/>
              <w:rPr>
                <w:rFonts w:ascii="宋体" w:hAnsi="宋体"/>
                <w:b/>
                <w:sz w:val="21"/>
                <w:szCs w:val="21"/>
              </w:rPr>
            </w:pPr>
            <w:r>
              <w:rPr>
                <w:b/>
                <w:sz w:val="21"/>
                <w:szCs w:val="21"/>
              </w:rPr>
              <w:t>表3-3</w:t>
            </w:r>
            <w:r>
              <w:rPr>
                <w:rFonts w:hint="eastAsia"/>
                <w:b/>
                <w:sz w:val="21"/>
                <w:szCs w:val="21"/>
                <w:lang w:val="en-US" w:eastAsia="zh-CN"/>
              </w:rPr>
              <w:t xml:space="preserve">  </w:t>
            </w:r>
            <w:r>
              <w:rPr>
                <w:b/>
                <w:sz w:val="21"/>
                <w:szCs w:val="21"/>
              </w:rPr>
              <w:t xml:space="preserve"> 本</w:t>
            </w:r>
            <w:r>
              <w:rPr>
                <w:rFonts w:hint="eastAsia" w:ascii="宋体" w:hAnsi="宋体"/>
                <w:b/>
                <w:sz w:val="21"/>
                <w:szCs w:val="21"/>
              </w:rPr>
              <w:t>项目</w:t>
            </w:r>
            <w:r>
              <w:rPr>
                <w:rFonts w:hint="eastAsia" w:ascii="宋体" w:hAnsi="宋体"/>
                <w:b/>
                <w:bCs/>
                <w:sz w:val="21"/>
                <w:szCs w:val="21"/>
              </w:rPr>
              <w:t>植被分布类型</w:t>
            </w:r>
            <w:r>
              <w:rPr>
                <w:rFonts w:ascii="宋体" w:hAnsi="宋体"/>
                <w:b/>
                <w:bCs/>
                <w:sz w:val="21"/>
                <w:szCs w:val="21"/>
              </w:rPr>
              <w:t>占比</w:t>
            </w:r>
            <w:r>
              <w:rPr>
                <w:rFonts w:hint="eastAsia" w:ascii="宋体" w:hAnsi="宋体"/>
                <w:b/>
                <w:sz w:val="21"/>
                <w:szCs w:val="21"/>
              </w:rPr>
              <w:t>统计表</w:t>
            </w:r>
          </w:p>
          <w:tbl>
            <w:tblPr>
              <w:tblStyle w:val="21"/>
              <w:tblW w:w="5000" w:type="pct"/>
              <w:jc w:val="center"/>
              <w:tblLayout w:type="fixed"/>
              <w:tblCellMar>
                <w:top w:w="0" w:type="dxa"/>
                <w:left w:w="108" w:type="dxa"/>
                <w:bottom w:w="0" w:type="dxa"/>
                <w:right w:w="108" w:type="dxa"/>
              </w:tblCellMar>
            </w:tblPr>
            <w:tblGrid>
              <w:gridCol w:w="4695"/>
              <w:gridCol w:w="4047"/>
            </w:tblGrid>
            <w:tr w14:paraId="48D4A8BD">
              <w:tblPrEx>
                <w:tblCellMar>
                  <w:top w:w="0" w:type="dxa"/>
                  <w:left w:w="108" w:type="dxa"/>
                  <w:bottom w:w="0" w:type="dxa"/>
                  <w:right w:w="108" w:type="dxa"/>
                </w:tblCellMar>
              </w:tblPrEx>
              <w:trPr>
                <w:trHeight w:val="305" w:hRule="atLeast"/>
                <w:jc w:val="center"/>
              </w:trPr>
              <w:tc>
                <w:tcPr>
                  <w:tcW w:w="2684" w:type="pct"/>
                  <w:tcBorders>
                    <w:top w:val="single" w:color="000000" w:sz="4" w:space="0"/>
                    <w:left w:val="single" w:color="000000" w:sz="4" w:space="0"/>
                    <w:bottom w:val="single" w:color="000000" w:sz="4" w:space="0"/>
                    <w:right w:val="single" w:color="000000" w:sz="4" w:space="0"/>
                  </w:tcBorders>
                  <w:noWrap/>
                  <w:vAlign w:val="center"/>
                </w:tcPr>
                <w:p w14:paraId="47D8DCE8">
                  <w:pPr>
                    <w:keepNext w:val="0"/>
                    <w:keepLines w:val="0"/>
                    <w:widowControl/>
                    <w:suppressLineNumbers w:val="0"/>
                    <w:spacing w:before="0" w:beforeAutospacing="0" w:after="0" w:afterAutospacing="0" w:line="240" w:lineRule="auto"/>
                    <w:ind w:left="0" w:right="0"/>
                    <w:jc w:val="center"/>
                    <w:textAlignment w:val="bottom"/>
                    <w:rPr>
                      <w:rFonts w:hAnsi="宋体"/>
                      <w:szCs w:val="21"/>
                    </w:rPr>
                  </w:pPr>
                  <w:r>
                    <w:rPr>
                      <w:rFonts w:hAnsi="宋体"/>
                      <w:szCs w:val="21"/>
                    </w:rPr>
                    <w:t>植被类型</w:t>
                  </w:r>
                </w:p>
              </w:tc>
              <w:tc>
                <w:tcPr>
                  <w:tcW w:w="2315" w:type="pct"/>
                  <w:tcBorders>
                    <w:top w:val="single" w:color="000000" w:sz="4" w:space="0"/>
                    <w:left w:val="single" w:color="000000" w:sz="4" w:space="0"/>
                    <w:bottom w:val="single" w:color="000000" w:sz="4" w:space="0"/>
                    <w:right w:val="single" w:color="000000" w:sz="4" w:space="0"/>
                  </w:tcBorders>
                  <w:noWrap/>
                  <w:vAlign w:val="center"/>
                </w:tcPr>
                <w:p w14:paraId="544933ED">
                  <w:pPr>
                    <w:keepNext w:val="0"/>
                    <w:keepLines w:val="0"/>
                    <w:widowControl/>
                    <w:suppressLineNumbers w:val="0"/>
                    <w:spacing w:before="0" w:beforeAutospacing="0" w:after="0" w:afterAutospacing="0" w:line="240" w:lineRule="auto"/>
                    <w:ind w:left="0" w:right="0"/>
                    <w:jc w:val="center"/>
                    <w:textAlignment w:val="bottom"/>
                    <w:rPr>
                      <w:rFonts w:hAnsi="宋体"/>
                      <w:szCs w:val="21"/>
                    </w:rPr>
                  </w:pPr>
                  <w:r>
                    <w:rPr>
                      <w:rFonts w:hAnsi="宋体"/>
                      <w:szCs w:val="21"/>
                    </w:rPr>
                    <w:t>比例（%）</w:t>
                  </w:r>
                </w:p>
              </w:tc>
            </w:tr>
            <w:tr w14:paraId="3E5517FA">
              <w:tblPrEx>
                <w:tblCellMar>
                  <w:top w:w="0" w:type="dxa"/>
                  <w:left w:w="108" w:type="dxa"/>
                  <w:bottom w:w="0" w:type="dxa"/>
                  <w:right w:w="108" w:type="dxa"/>
                </w:tblCellMar>
              </w:tblPrEx>
              <w:trPr>
                <w:trHeight w:val="289" w:hRule="atLeast"/>
                <w:jc w:val="center"/>
              </w:trPr>
              <w:tc>
                <w:tcPr>
                  <w:tcW w:w="2684" w:type="pct"/>
                  <w:tcBorders>
                    <w:top w:val="single" w:color="000000" w:sz="4" w:space="0"/>
                    <w:left w:val="single" w:color="000000" w:sz="4" w:space="0"/>
                    <w:bottom w:val="single" w:color="000000" w:sz="4" w:space="0"/>
                    <w:right w:val="single" w:color="000000" w:sz="4" w:space="0"/>
                  </w:tcBorders>
                  <w:noWrap/>
                  <w:vAlign w:val="center"/>
                </w:tcPr>
                <w:p w14:paraId="0C30E51D">
                  <w:pPr>
                    <w:keepNext w:val="0"/>
                    <w:keepLines w:val="0"/>
                    <w:widowControl/>
                    <w:suppressLineNumbers w:val="0"/>
                    <w:spacing w:before="0" w:beforeAutospacing="0" w:after="0" w:afterAutospacing="0" w:line="240" w:lineRule="auto"/>
                    <w:ind w:left="0" w:right="0"/>
                    <w:jc w:val="center"/>
                    <w:textAlignment w:val="bottom"/>
                    <w:rPr>
                      <w:rFonts w:hAnsi="宋体"/>
                      <w:szCs w:val="21"/>
                    </w:rPr>
                  </w:pPr>
                  <w:r>
                    <w:rPr>
                      <w:rFonts w:hint="eastAsia" w:hAnsi="宋体"/>
                      <w:szCs w:val="21"/>
                    </w:rPr>
                    <w:t>膜果麻黄荒漠植被</w:t>
                  </w:r>
                </w:p>
              </w:tc>
              <w:tc>
                <w:tcPr>
                  <w:tcW w:w="2315" w:type="pct"/>
                  <w:tcBorders>
                    <w:top w:val="single" w:color="000000" w:sz="4" w:space="0"/>
                    <w:left w:val="single" w:color="000000" w:sz="4" w:space="0"/>
                    <w:bottom w:val="single" w:color="000000" w:sz="4" w:space="0"/>
                    <w:right w:val="single" w:color="000000" w:sz="4" w:space="0"/>
                  </w:tcBorders>
                  <w:noWrap/>
                  <w:vAlign w:val="center"/>
                </w:tcPr>
                <w:p w14:paraId="347D6F4D">
                  <w:pPr>
                    <w:keepNext w:val="0"/>
                    <w:keepLines w:val="0"/>
                    <w:widowControl/>
                    <w:suppressLineNumbers w:val="0"/>
                    <w:spacing w:before="0" w:beforeAutospacing="0" w:after="0" w:afterAutospacing="0" w:line="240" w:lineRule="auto"/>
                    <w:ind w:left="0" w:right="0"/>
                    <w:jc w:val="center"/>
                    <w:textAlignment w:val="center"/>
                    <w:rPr>
                      <w:rFonts w:hAnsi="宋体"/>
                      <w:szCs w:val="21"/>
                    </w:rPr>
                  </w:pPr>
                  <w:r>
                    <w:rPr>
                      <w:rFonts w:hint="eastAsia" w:hAnsi="宋体"/>
                      <w:szCs w:val="21"/>
                    </w:rPr>
                    <w:t>100</w:t>
                  </w:r>
                </w:p>
              </w:tc>
            </w:tr>
          </w:tbl>
          <w:p w14:paraId="76FA7536">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contextualSpacing/>
              <w:textAlignment w:val="auto"/>
              <w:rPr>
                <w:rFonts w:hAnsi="宋体"/>
                <w:sz w:val="24"/>
              </w:rPr>
            </w:pPr>
            <w:r>
              <w:rPr>
                <w:rFonts w:hint="eastAsia" w:hAnsi="宋体"/>
                <w:sz w:val="24"/>
              </w:rPr>
              <w:t>（4）</w:t>
            </w:r>
            <w:r>
              <w:rPr>
                <w:rFonts w:hAnsi="宋体"/>
                <w:sz w:val="24"/>
              </w:rPr>
              <w:t>野生动物资源现状</w:t>
            </w:r>
          </w:p>
          <w:p w14:paraId="4905F1E3">
            <w:pPr>
              <w:snapToGrid w:val="0"/>
              <w:spacing w:line="360" w:lineRule="auto"/>
              <w:ind w:firstLine="480" w:firstLineChars="200"/>
              <w:contextualSpacing/>
              <w:rPr>
                <w:rFonts w:hAnsi="宋体"/>
                <w:sz w:val="24"/>
              </w:rPr>
            </w:pPr>
            <w:r>
              <w:rPr>
                <w:rFonts w:hAnsi="宋体"/>
                <w:sz w:val="24"/>
              </w:rPr>
              <w:t>经现场勘查，项目区无大型野生动物活动，常见有麻雀、鼠类、蜥蜴等，无国家及自治区级野生保护动物，无国家及自治区保护的珍稀、濒危物种分布。</w:t>
            </w:r>
          </w:p>
          <w:p w14:paraId="6BD94D58">
            <w:pPr>
              <w:pStyle w:val="38"/>
              <w:snapToGrid w:val="0"/>
              <w:ind w:firstLine="0" w:firstLineChars="0"/>
              <w:rPr>
                <w:rFonts w:hAnsi="宋体"/>
                <w:b/>
                <w:bCs/>
                <w:sz w:val="24"/>
              </w:rPr>
            </w:pPr>
            <w:r>
              <w:rPr>
                <w:rFonts w:hint="default" w:ascii="Times New Roman" w:hAnsi="Times New Roman" w:cs="Times New Roman"/>
                <w:b/>
                <w:bCs/>
                <w:sz w:val="24"/>
              </w:rPr>
              <w:t>3</w:t>
            </w:r>
            <w:r>
              <w:rPr>
                <w:rFonts w:hint="eastAsia" w:ascii="宋体" w:hAnsi="宋体"/>
                <w:b/>
                <w:bCs/>
                <w:sz w:val="24"/>
              </w:rPr>
              <w:t>、</w:t>
            </w:r>
            <w:r>
              <w:rPr>
                <w:rFonts w:hAnsi="宋体"/>
                <w:b/>
                <w:bCs/>
                <w:sz w:val="24"/>
              </w:rPr>
              <w:t>环境空气现状</w:t>
            </w:r>
          </w:p>
          <w:p w14:paraId="610D70E2">
            <w:pPr>
              <w:pStyle w:val="34"/>
              <w:jc w:val="both"/>
              <w:rPr>
                <w:rFonts w:ascii="宋体" w:hAnsi="宋体"/>
                <w:sz w:val="24"/>
              </w:rPr>
            </w:pPr>
            <w:r>
              <w:rPr>
                <w:rFonts w:ascii="宋体" w:hAnsi="宋体"/>
                <w:sz w:val="24"/>
              </w:rPr>
              <w:t>根据《环境影响评价技术导则 大气环境》（</w:t>
            </w:r>
            <w:r>
              <w:rPr>
                <w:sz w:val="24"/>
              </w:rPr>
              <w:t>HJ2.2-2018</w:t>
            </w:r>
            <w:r>
              <w:rPr>
                <w:rFonts w:ascii="宋体" w:hAnsi="宋体"/>
                <w:sz w:val="24"/>
              </w:rPr>
              <w:t>）的要求，</w:t>
            </w:r>
            <w:r>
              <w:rPr>
                <w:rFonts w:hint="eastAsia" w:ascii="宋体" w:hAnsi="宋体"/>
                <w:sz w:val="24"/>
              </w:rPr>
              <w:t>本次</w:t>
            </w:r>
            <w:r>
              <w:rPr>
                <w:rFonts w:ascii="宋体" w:hAnsi="宋体"/>
                <w:sz w:val="24"/>
              </w:rPr>
              <w:t>引用</w:t>
            </w:r>
            <w:r>
              <w:rPr>
                <w:rFonts w:hint="eastAsia" w:ascii="宋体" w:hAnsi="宋体"/>
                <w:sz w:val="24"/>
              </w:rPr>
              <w:t>环</w:t>
            </w:r>
            <w:r>
              <w:rPr>
                <w:rFonts w:ascii="宋体" w:hAnsi="宋体"/>
                <w:sz w:val="24"/>
              </w:rPr>
              <w:t>境空气质量模型技术支持服务系统（</w:t>
            </w:r>
            <w:r>
              <w:rPr>
                <w:sz w:val="24"/>
              </w:rPr>
              <w:t>http://data.lem.org.cn/eamds/apply/tostepone.html</w:t>
            </w:r>
            <w:r>
              <w:rPr>
                <w:rFonts w:ascii="宋体" w:hAnsi="宋体"/>
                <w:sz w:val="24"/>
              </w:rPr>
              <w:t>）发布的</w:t>
            </w:r>
            <w:r>
              <w:rPr>
                <w:sz w:val="24"/>
              </w:rPr>
              <w:t>2023</w:t>
            </w:r>
            <w:r>
              <w:rPr>
                <w:rFonts w:ascii="宋体" w:hAnsi="宋体"/>
                <w:sz w:val="24"/>
              </w:rPr>
              <w:t>年吐鲁番市空气质量数据作为本项目环境空气现状评价基本污染物</w:t>
            </w:r>
            <w:r>
              <w:rPr>
                <w:sz w:val="24"/>
              </w:rPr>
              <w:t>SO</w:t>
            </w:r>
            <w:r>
              <w:rPr>
                <w:sz w:val="24"/>
                <w:vertAlign w:val="subscript"/>
              </w:rPr>
              <w:t>2</w:t>
            </w:r>
            <w:r>
              <w:rPr>
                <w:rFonts w:ascii="宋体" w:hAnsi="宋体"/>
                <w:sz w:val="24"/>
              </w:rPr>
              <w:t>、</w:t>
            </w:r>
            <w:r>
              <w:rPr>
                <w:sz w:val="24"/>
              </w:rPr>
              <w:t>NO</w:t>
            </w:r>
            <w:r>
              <w:rPr>
                <w:sz w:val="24"/>
                <w:vertAlign w:val="subscript"/>
              </w:rPr>
              <w:t>2</w:t>
            </w:r>
            <w:r>
              <w:rPr>
                <w:rFonts w:ascii="宋体" w:hAnsi="宋体"/>
                <w:sz w:val="24"/>
              </w:rPr>
              <w:t>、</w:t>
            </w:r>
            <w:r>
              <w:rPr>
                <w:sz w:val="24"/>
              </w:rPr>
              <w:t>PM</w:t>
            </w:r>
            <w:r>
              <w:rPr>
                <w:sz w:val="24"/>
                <w:vertAlign w:val="subscript"/>
              </w:rPr>
              <w:t>10</w:t>
            </w:r>
            <w:r>
              <w:rPr>
                <w:rFonts w:ascii="宋体" w:hAnsi="宋体"/>
                <w:sz w:val="24"/>
              </w:rPr>
              <w:t>、</w:t>
            </w:r>
            <w:r>
              <w:rPr>
                <w:sz w:val="24"/>
              </w:rPr>
              <w:t>PM</w:t>
            </w:r>
            <w:r>
              <w:rPr>
                <w:sz w:val="24"/>
                <w:vertAlign w:val="subscript"/>
              </w:rPr>
              <w:t>2.5</w:t>
            </w:r>
            <w:r>
              <w:rPr>
                <w:rFonts w:ascii="宋体" w:hAnsi="宋体"/>
                <w:sz w:val="24"/>
              </w:rPr>
              <w:t>、</w:t>
            </w:r>
            <w:r>
              <w:rPr>
                <w:sz w:val="24"/>
              </w:rPr>
              <w:t>CO</w:t>
            </w:r>
            <w:r>
              <w:rPr>
                <w:rFonts w:ascii="宋体" w:hAnsi="宋体"/>
                <w:sz w:val="24"/>
              </w:rPr>
              <w:t>和</w:t>
            </w:r>
            <w:r>
              <w:rPr>
                <w:sz w:val="24"/>
              </w:rPr>
              <w:t>O</w:t>
            </w:r>
            <w:r>
              <w:rPr>
                <w:sz w:val="24"/>
                <w:vertAlign w:val="subscript"/>
              </w:rPr>
              <w:t>3</w:t>
            </w:r>
            <w:r>
              <w:rPr>
                <w:rFonts w:ascii="宋体" w:hAnsi="宋体"/>
                <w:sz w:val="24"/>
              </w:rPr>
              <w:t>的数据来源。</w:t>
            </w:r>
          </w:p>
          <w:p w14:paraId="4D69D80A">
            <w:pPr>
              <w:spacing w:line="360" w:lineRule="auto"/>
              <w:ind w:firstLine="480" w:firstLineChars="200"/>
              <w:rPr>
                <w:rFonts w:ascii="宋体" w:hAnsi="宋体"/>
                <w:sz w:val="24"/>
              </w:rPr>
            </w:pPr>
            <w:r>
              <w:rPr>
                <w:rFonts w:hint="eastAsia" w:ascii="宋体" w:hAnsi="宋体"/>
                <w:sz w:val="24"/>
              </w:rPr>
              <w:t>①监测项目、监测时间</w:t>
            </w:r>
          </w:p>
          <w:p w14:paraId="25720185">
            <w:pPr>
              <w:spacing w:line="360" w:lineRule="auto"/>
              <w:ind w:firstLine="480" w:firstLineChars="200"/>
              <w:rPr>
                <w:rFonts w:ascii="宋体" w:hAnsi="宋体"/>
                <w:sz w:val="24"/>
              </w:rPr>
            </w:pPr>
            <w:r>
              <w:rPr>
                <w:rFonts w:hint="eastAsia" w:ascii="宋体" w:hAnsi="宋体"/>
                <w:sz w:val="24"/>
              </w:rPr>
              <w:t>监测项目：基本污染物</w:t>
            </w:r>
            <w:r>
              <w:rPr>
                <w:sz w:val="24"/>
              </w:rPr>
              <w:t>SO</w:t>
            </w:r>
            <w:r>
              <w:rPr>
                <w:sz w:val="24"/>
                <w:vertAlign w:val="subscript"/>
              </w:rPr>
              <w:t>2</w:t>
            </w:r>
            <w:r>
              <w:rPr>
                <w:rFonts w:ascii="宋体" w:hAnsi="宋体"/>
                <w:sz w:val="24"/>
              </w:rPr>
              <w:t>、</w:t>
            </w:r>
            <w:r>
              <w:rPr>
                <w:sz w:val="24"/>
              </w:rPr>
              <w:t>NO</w:t>
            </w:r>
            <w:r>
              <w:rPr>
                <w:sz w:val="24"/>
                <w:vertAlign w:val="subscript"/>
              </w:rPr>
              <w:t>2</w:t>
            </w:r>
            <w:r>
              <w:rPr>
                <w:rFonts w:ascii="宋体" w:hAnsi="宋体"/>
                <w:sz w:val="24"/>
              </w:rPr>
              <w:t>、</w:t>
            </w:r>
            <w:r>
              <w:rPr>
                <w:sz w:val="24"/>
              </w:rPr>
              <w:t>PM</w:t>
            </w:r>
            <w:r>
              <w:rPr>
                <w:sz w:val="24"/>
                <w:vertAlign w:val="subscript"/>
              </w:rPr>
              <w:t>10</w:t>
            </w:r>
            <w:r>
              <w:rPr>
                <w:rFonts w:ascii="宋体" w:hAnsi="宋体"/>
                <w:sz w:val="24"/>
              </w:rPr>
              <w:t>、</w:t>
            </w:r>
            <w:r>
              <w:rPr>
                <w:sz w:val="24"/>
              </w:rPr>
              <w:t>PM</w:t>
            </w:r>
            <w:r>
              <w:rPr>
                <w:sz w:val="24"/>
                <w:vertAlign w:val="subscript"/>
              </w:rPr>
              <w:t>2.5</w:t>
            </w:r>
            <w:r>
              <w:rPr>
                <w:rFonts w:ascii="宋体" w:hAnsi="宋体"/>
                <w:sz w:val="24"/>
              </w:rPr>
              <w:t>、</w:t>
            </w:r>
            <w:r>
              <w:rPr>
                <w:sz w:val="24"/>
              </w:rPr>
              <w:t>CO</w:t>
            </w:r>
            <w:r>
              <w:rPr>
                <w:rFonts w:ascii="宋体" w:hAnsi="宋体"/>
                <w:sz w:val="24"/>
              </w:rPr>
              <w:t>和</w:t>
            </w:r>
            <w:r>
              <w:rPr>
                <w:sz w:val="24"/>
              </w:rPr>
              <w:t>O</w:t>
            </w:r>
            <w:r>
              <w:rPr>
                <w:sz w:val="24"/>
                <w:vertAlign w:val="subscript"/>
              </w:rPr>
              <w:t>3</w:t>
            </w:r>
            <w:r>
              <w:rPr>
                <w:rFonts w:hint="eastAsia" w:ascii="宋体" w:hAnsi="宋体"/>
                <w:sz w:val="24"/>
              </w:rPr>
              <w:t xml:space="preserve">。 </w:t>
            </w:r>
          </w:p>
          <w:p w14:paraId="024DE8A5">
            <w:pPr>
              <w:spacing w:line="360" w:lineRule="auto"/>
              <w:ind w:firstLine="480" w:firstLineChars="200"/>
              <w:rPr>
                <w:rFonts w:ascii="宋体" w:hAnsi="宋体"/>
                <w:sz w:val="24"/>
              </w:rPr>
            </w:pPr>
            <w:r>
              <w:rPr>
                <w:rFonts w:hint="eastAsia" w:ascii="宋体" w:hAnsi="宋体"/>
                <w:sz w:val="24"/>
              </w:rPr>
              <w:t>监测时间：</w:t>
            </w:r>
            <w:r>
              <w:rPr>
                <w:sz w:val="24"/>
              </w:rPr>
              <w:t>2023</w:t>
            </w:r>
            <w:r>
              <w:rPr>
                <w:rFonts w:hint="eastAsia" w:ascii="宋体" w:hAnsi="宋体"/>
                <w:sz w:val="24"/>
              </w:rPr>
              <w:t xml:space="preserve">年。 </w:t>
            </w:r>
          </w:p>
          <w:p w14:paraId="15705B42">
            <w:pPr>
              <w:spacing w:line="360" w:lineRule="auto"/>
              <w:ind w:firstLine="480" w:firstLineChars="200"/>
              <w:rPr>
                <w:rFonts w:ascii="宋体" w:hAnsi="宋体"/>
                <w:sz w:val="24"/>
              </w:rPr>
            </w:pPr>
            <w:r>
              <w:rPr>
                <w:rFonts w:hint="eastAsia" w:ascii="宋体" w:hAnsi="宋体"/>
                <w:sz w:val="24"/>
              </w:rPr>
              <w:t xml:space="preserve">②评价标准 </w:t>
            </w:r>
          </w:p>
          <w:p w14:paraId="3A1156BD">
            <w:pPr>
              <w:spacing w:line="360" w:lineRule="auto"/>
              <w:ind w:firstLine="480" w:firstLineChars="200"/>
              <w:rPr>
                <w:rFonts w:ascii="宋体" w:hAnsi="宋体"/>
                <w:sz w:val="24"/>
              </w:rPr>
            </w:pPr>
            <w:r>
              <w:rPr>
                <w:rFonts w:hint="eastAsia" w:ascii="宋体" w:hAnsi="宋体"/>
                <w:sz w:val="24"/>
              </w:rPr>
              <w:t>根据环境空气质量功能区划分规定，本次评价基本污染物</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ascii="宋体" w:hAnsi="宋体"/>
                <w:sz w:val="24"/>
              </w:rPr>
              <w:t>、</w:t>
            </w:r>
            <w:r>
              <w:rPr>
                <w:rFonts w:hint="eastAsia"/>
                <w:sz w:val="24"/>
              </w:rPr>
              <w:t>CO</w:t>
            </w:r>
            <w:r>
              <w:rPr>
                <w:rFonts w:hint="eastAsia" w:ascii="宋体" w:hAnsi="宋体"/>
                <w:sz w:val="24"/>
              </w:rPr>
              <w:t>和</w:t>
            </w:r>
            <w:r>
              <w:rPr>
                <w:rFonts w:hint="eastAsia"/>
                <w:sz w:val="24"/>
              </w:rPr>
              <w:t>O</w:t>
            </w:r>
            <w:r>
              <w:rPr>
                <w:rFonts w:hint="eastAsia"/>
                <w:sz w:val="24"/>
                <w:vertAlign w:val="subscript"/>
              </w:rPr>
              <w:t>3</w:t>
            </w:r>
            <w:r>
              <w:rPr>
                <w:rFonts w:hint="eastAsia" w:ascii="宋体" w:hAnsi="宋体"/>
                <w:sz w:val="24"/>
              </w:rPr>
              <w:t>执行《环境空气质量标准》(</w:t>
            </w:r>
            <w:r>
              <w:rPr>
                <w:rFonts w:hint="eastAsia"/>
                <w:sz w:val="24"/>
              </w:rPr>
              <w:t>GB3095-2012</w:t>
            </w:r>
            <w:r>
              <w:rPr>
                <w:rFonts w:hint="eastAsia" w:ascii="宋体" w:hAnsi="宋体"/>
                <w:sz w:val="24"/>
              </w:rPr>
              <w:t xml:space="preserve">）中二级标准。 </w:t>
            </w:r>
          </w:p>
          <w:p w14:paraId="18B9C449">
            <w:pPr>
              <w:spacing w:line="360" w:lineRule="auto"/>
              <w:ind w:firstLine="480" w:firstLineChars="200"/>
              <w:rPr>
                <w:sz w:val="24"/>
              </w:rPr>
            </w:pPr>
            <w:r>
              <w:rPr>
                <w:rFonts w:hint="eastAsia"/>
                <w:sz w:val="24"/>
              </w:rPr>
              <w:t>③评价方法</w:t>
            </w:r>
            <w:r>
              <w:rPr>
                <w:rFonts w:hint="eastAsia" w:ascii="宋体" w:hAnsi="宋体"/>
                <w:sz w:val="24"/>
              </w:rPr>
              <w:t xml:space="preserve"> </w:t>
            </w:r>
          </w:p>
          <w:p w14:paraId="4D5BB1DC">
            <w:pPr>
              <w:spacing w:line="360" w:lineRule="auto"/>
              <w:ind w:firstLine="480" w:firstLineChars="200"/>
              <w:rPr>
                <w:rFonts w:ascii="宋体" w:hAnsi="宋体"/>
                <w:sz w:val="24"/>
              </w:rPr>
            </w:pPr>
            <w:r>
              <w:rPr>
                <w:rFonts w:hint="eastAsia" w:ascii="宋体" w:hAnsi="宋体"/>
                <w:sz w:val="24"/>
              </w:rPr>
              <w:t>按照《环境空气质量评价技术规范(试行)》(</w:t>
            </w:r>
            <w:r>
              <w:rPr>
                <w:rFonts w:hint="eastAsia"/>
                <w:sz w:val="24"/>
              </w:rPr>
              <w:t>HJ 663-2013</w:t>
            </w:r>
            <w:r>
              <w:rPr>
                <w:rFonts w:hint="eastAsia" w:ascii="宋体" w:hAnsi="宋体"/>
                <w:sz w:val="24"/>
              </w:rPr>
              <w:t>)中各评价项目的年评价指标进行判定。年评价指标中的年均浓度和相应百分位数</w:t>
            </w:r>
            <w:r>
              <w:rPr>
                <w:rFonts w:hint="eastAsia"/>
                <w:sz w:val="24"/>
              </w:rPr>
              <w:t>24h</w:t>
            </w:r>
            <w:r>
              <w:rPr>
                <w:rFonts w:hint="eastAsia" w:ascii="宋体" w:hAnsi="宋体"/>
                <w:sz w:val="24"/>
              </w:rPr>
              <w:t>平均或</w:t>
            </w:r>
            <w:r>
              <w:rPr>
                <w:rFonts w:hint="eastAsia"/>
                <w:sz w:val="24"/>
              </w:rPr>
              <w:t>8h</w:t>
            </w:r>
            <w:r>
              <w:rPr>
                <w:rFonts w:hint="eastAsia" w:ascii="宋体" w:hAnsi="宋体"/>
                <w:sz w:val="24"/>
              </w:rPr>
              <w:t>平均质量浓度满足《环境空气质量标准》（</w:t>
            </w:r>
            <w:r>
              <w:rPr>
                <w:rFonts w:hint="eastAsia"/>
                <w:sz w:val="24"/>
              </w:rPr>
              <w:t>GB3095-2012</w:t>
            </w:r>
            <w:r>
              <w:rPr>
                <w:rFonts w:hint="eastAsia" w:ascii="宋体" w:hAnsi="宋体"/>
                <w:sz w:val="24"/>
              </w:rPr>
              <w:t xml:space="preserve">）中二级浓度限值要求的即为达标。对于超标的污染物，计算其超标倍数和超标率。 </w:t>
            </w:r>
          </w:p>
          <w:p w14:paraId="6604EA11">
            <w:pPr>
              <w:spacing w:line="360" w:lineRule="auto"/>
              <w:ind w:firstLine="480" w:firstLineChars="200"/>
              <w:rPr>
                <w:rFonts w:ascii="宋体" w:hAnsi="宋体"/>
                <w:sz w:val="24"/>
              </w:rPr>
            </w:pPr>
            <w:r>
              <w:rPr>
                <w:rFonts w:hint="eastAsia" w:ascii="宋体" w:hAnsi="宋体"/>
                <w:sz w:val="24"/>
              </w:rPr>
              <w:t xml:space="preserve">④空气质量达标区域的判定 </w:t>
            </w:r>
          </w:p>
          <w:p w14:paraId="14D3235F">
            <w:pPr>
              <w:spacing w:line="360" w:lineRule="auto"/>
              <w:ind w:firstLine="480" w:firstLineChars="200"/>
              <w:rPr>
                <w:rFonts w:ascii="宋体" w:hAnsi="宋体"/>
                <w:sz w:val="24"/>
              </w:rPr>
            </w:pPr>
            <w:r>
              <w:rPr>
                <w:rFonts w:hint="eastAsia" w:ascii="宋体" w:hAnsi="宋体"/>
                <w:sz w:val="24"/>
              </w:rPr>
              <w:t>环境空气质量现状评价结果见表</w:t>
            </w:r>
            <w:r>
              <w:rPr>
                <w:rFonts w:hint="eastAsia" w:hAnsi="宋体"/>
                <w:sz w:val="24"/>
              </w:rPr>
              <w:t>3-4</w:t>
            </w:r>
            <w:r>
              <w:rPr>
                <w:rFonts w:hint="eastAsia" w:ascii="宋体" w:hAnsi="宋体"/>
                <w:sz w:val="24"/>
              </w:rPr>
              <w:t>。</w:t>
            </w:r>
          </w:p>
          <w:p w14:paraId="0645A9B8">
            <w:pPr>
              <w:pStyle w:val="33"/>
              <w:topLinePunct/>
              <w:autoSpaceDE w:val="0"/>
              <w:autoSpaceDN w:val="0"/>
              <w:snapToGrid w:val="0"/>
              <w:spacing w:line="240" w:lineRule="auto"/>
              <w:ind w:firstLine="0" w:firstLineChars="0"/>
              <w:jc w:val="center"/>
              <w:rPr>
                <w:rFonts w:ascii="宋体" w:hAnsi="宋体"/>
                <w:b/>
                <w:bCs/>
                <w:sz w:val="21"/>
                <w:szCs w:val="21"/>
              </w:rPr>
            </w:pPr>
            <w:bookmarkStart w:id="7" w:name="OLE_LINK2"/>
            <w:r>
              <w:rPr>
                <w:rFonts w:ascii="宋体" w:hAnsi="宋体"/>
                <w:b/>
                <w:bCs/>
                <w:sz w:val="21"/>
                <w:szCs w:val="21"/>
              </w:rPr>
              <w:t>表</w:t>
            </w:r>
            <w:r>
              <w:rPr>
                <w:rFonts w:hint="eastAsia"/>
                <w:b/>
                <w:bCs/>
                <w:sz w:val="21"/>
                <w:szCs w:val="21"/>
              </w:rPr>
              <w:t>3-4</w:t>
            </w:r>
            <w:r>
              <w:rPr>
                <w:rFonts w:hint="eastAsia" w:ascii="宋体" w:hAnsi="宋体"/>
                <w:b/>
                <w:bCs/>
                <w:sz w:val="21"/>
                <w:szCs w:val="21"/>
              </w:rPr>
              <w:t xml:space="preserve"> </w:t>
            </w:r>
            <w:r>
              <w:rPr>
                <w:rFonts w:hint="eastAsia" w:ascii="宋体" w:hAnsi="宋体"/>
                <w:b/>
                <w:bCs/>
                <w:sz w:val="21"/>
                <w:szCs w:val="21"/>
                <w:lang w:val="en-US" w:eastAsia="zh-CN"/>
              </w:rPr>
              <w:t xml:space="preserve"> </w:t>
            </w:r>
            <w:r>
              <w:rPr>
                <w:rFonts w:hint="eastAsia" w:ascii="宋体" w:hAnsi="宋体"/>
                <w:b/>
                <w:bCs/>
                <w:sz w:val="21"/>
                <w:szCs w:val="21"/>
              </w:rPr>
              <w:t xml:space="preserve"> </w:t>
            </w:r>
            <w:r>
              <w:rPr>
                <w:b/>
                <w:bCs/>
                <w:sz w:val="21"/>
                <w:szCs w:val="21"/>
              </w:rPr>
              <w:t>20</w:t>
            </w:r>
            <w:r>
              <w:rPr>
                <w:rFonts w:hint="eastAsia"/>
                <w:b/>
                <w:bCs/>
                <w:sz w:val="21"/>
                <w:szCs w:val="21"/>
              </w:rPr>
              <w:t>23</w:t>
            </w:r>
            <w:r>
              <w:rPr>
                <w:rFonts w:ascii="宋体" w:hAnsi="宋体"/>
                <w:b/>
                <w:bCs/>
                <w:sz w:val="21"/>
                <w:szCs w:val="21"/>
              </w:rPr>
              <w:t>年吐鲁番市主要空气污染物指标监测结果</w:t>
            </w:r>
            <w:r>
              <w:rPr>
                <w:rFonts w:hint="eastAsia" w:ascii="宋体" w:hAnsi="宋体"/>
                <w:b/>
                <w:bCs/>
                <w:sz w:val="21"/>
                <w:szCs w:val="21"/>
              </w:rPr>
              <w:t xml:space="preserve">   </w:t>
            </w:r>
            <w:r>
              <w:rPr>
                <w:rFonts w:ascii="宋体" w:hAnsi="宋体"/>
                <w:b/>
                <w:bCs/>
                <w:sz w:val="21"/>
                <w:szCs w:val="21"/>
              </w:rPr>
              <w:t>单位：</w:t>
            </w:r>
            <w:r>
              <w:rPr>
                <w:b/>
                <w:bCs/>
                <w:sz w:val="21"/>
                <w:szCs w:val="21"/>
              </w:rPr>
              <w:t>μg/m</w:t>
            </w:r>
            <w:r>
              <w:rPr>
                <w:b/>
                <w:bCs/>
                <w:sz w:val="21"/>
                <w:szCs w:val="21"/>
                <w:vertAlign w:val="superscript"/>
              </w:rPr>
              <w:t>3</w:t>
            </w:r>
            <w:bookmarkEnd w:id="7"/>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2995"/>
              <w:gridCol w:w="1252"/>
              <w:gridCol w:w="1009"/>
              <w:gridCol w:w="1211"/>
              <w:gridCol w:w="1252"/>
            </w:tblGrid>
            <w:tr w14:paraId="6BC702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7" w:hRule="atLeast"/>
              </w:trPr>
              <w:tc>
                <w:tcPr>
                  <w:tcW w:w="578" w:type="pct"/>
                  <w:vAlign w:val="center"/>
                </w:tcPr>
                <w:p w14:paraId="33B28016">
                  <w:pPr>
                    <w:keepNext w:val="0"/>
                    <w:keepLines w:val="0"/>
                    <w:suppressLineNumbers w:val="0"/>
                    <w:spacing w:before="0" w:beforeAutospacing="0" w:after="0" w:afterAutospacing="0"/>
                    <w:ind w:left="0" w:right="0"/>
                    <w:jc w:val="center"/>
                    <w:rPr>
                      <w:szCs w:val="21"/>
                    </w:rPr>
                  </w:pPr>
                  <w:r>
                    <w:rPr>
                      <w:szCs w:val="21"/>
                    </w:rPr>
                    <w:t>污染物</w:t>
                  </w:r>
                </w:p>
              </w:tc>
              <w:tc>
                <w:tcPr>
                  <w:tcW w:w="1715" w:type="pct"/>
                  <w:vAlign w:val="center"/>
                </w:tcPr>
                <w:p w14:paraId="0F5B3B43">
                  <w:pPr>
                    <w:keepNext w:val="0"/>
                    <w:keepLines w:val="0"/>
                    <w:suppressLineNumbers w:val="0"/>
                    <w:spacing w:before="0" w:beforeAutospacing="0" w:after="0" w:afterAutospacing="0"/>
                    <w:ind w:left="0" w:right="0"/>
                    <w:jc w:val="center"/>
                    <w:rPr>
                      <w:szCs w:val="21"/>
                    </w:rPr>
                  </w:pPr>
                  <w:r>
                    <w:rPr>
                      <w:szCs w:val="21"/>
                    </w:rPr>
                    <w:t>平均时段</w:t>
                  </w:r>
                </w:p>
              </w:tc>
              <w:tc>
                <w:tcPr>
                  <w:tcW w:w="716" w:type="pct"/>
                  <w:vAlign w:val="center"/>
                </w:tcPr>
                <w:p w14:paraId="5D31FB29">
                  <w:pPr>
                    <w:keepNext w:val="0"/>
                    <w:keepLines w:val="0"/>
                    <w:suppressLineNumbers w:val="0"/>
                    <w:spacing w:before="0" w:beforeAutospacing="0" w:after="0" w:afterAutospacing="0"/>
                    <w:ind w:left="0" w:right="0"/>
                    <w:jc w:val="center"/>
                    <w:rPr>
                      <w:szCs w:val="21"/>
                    </w:rPr>
                  </w:pPr>
                  <w:r>
                    <w:rPr>
                      <w:szCs w:val="21"/>
                    </w:rPr>
                    <w:t>现状浓度</w:t>
                  </w:r>
                </w:p>
              </w:tc>
              <w:tc>
                <w:tcPr>
                  <w:tcW w:w="578" w:type="pct"/>
                  <w:vAlign w:val="center"/>
                </w:tcPr>
                <w:p w14:paraId="3217FC7A">
                  <w:pPr>
                    <w:keepNext w:val="0"/>
                    <w:keepLines w:val="0"/>
                    <w:suppressLineNumbers w:val="0"/>
                    <w:spacing w:before="0" w:beforeAutospacing="0" w:after="0" w:afterAutospacing="0"/>
                    <w:ind w:left="0" w:right="0"/>
                    <w:jc w:val="center"/>
                    <w:rPr>
                      <w:szCs w:val="21"/>
                    </w:rPr>
                  </w:pPr>
                  <w:r>
                    <w:rPr>
                      <w:szCs w:val="21"/>
                    </w:rPr>
                    <w:t>标准值</w:t>
                  </w:r>
                </w:p>
              </w:tc>
              <w:tc>
                <w:tcPr>
                  <w:tcW w:w="693" w:type="pct"/>
                  <w:vAlign w:val="center"/>
                </w:tcPr>
                <w:p w14:paraId="6A6292D5">
                  <w:pPr>
                    <w:keepNext w:val="0"/>
                    <w:keepLines w:val="0"/>
                    <w:suppressLineNumbers w:val="0"/>
                    <w:spacing w:before="0" w:beforeAutospacing="0" w:after="0" w:afterAutospacing="0"/>
                    <w:ind w:left="0" w:right="0"/>
                    <w:jc w:val="center"/>
                    <w:rPr>
                      <w:szCs w:val="21"/>
                    </w:rPr>
                  </w:pPr>
                  <w:r>
                    <w:rPr>
                      <w:szCs w:val="21"/>
                    </w:rPr>
                    <w:t>占标率</w:t>
                  </w:r>
                </w:p>
              </w:tc>
              <w:tc>
                <w:tcPr>
                  <w:tcW w:w="716" w:type="pct"/>
                  <w:vAlign w:val="center"/>
                </w:tcPr>
                <w:p w14:paraId="72C2A640">
                  <w:pPr>
                    <w:keepNext w:val="0"/>
                    <w:keepLines w:val="0"/>
                    <w:suppressLineNumbers w:val="0"/>
                    <w:spacing w:before="0" w:beforeAutospacing="0" w:after="0" w:afterAutospacing="0"/>
                    <w:ind w:left="0" w:right="0"/>
                    <w:jc w:val="center"/>
                    <w:rPr>
                      <w:szCs w:val="21"/>
                    </w:rPr>
                  </w:pPr>
                  <w:r>
                    <w:rPr>
                      <w:szCs w:val="21"/>
                    </w:rPr>
                    <w:t>达标情况</w:t>
                  </w:r>
                </w:p>
              </w:tc>
            </w:tr>
            <w:tr w14:paraId="753B70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8" w:type="pct"/>
                  <w:tcBorders>
                    <w:bottom w:val="single" w:color="auto" w:sz="4" w:space="0"/>
                  </w:tcBorders>
                  <w:vAlign w:val="center"/>
                </w:tcPr>
                <w:p w14:paraId="243F0731">
                  <w:pPr>
                    <w:keepNext w:val="0"/>
                    <w:keepLines w:val="0"/>
                    <w:suppressLineNumbers w:val="0"/>
                    <w:spacing w:before="0" w:beforeAutospacing="0" w:after="0" w:afterAutospacing="0"/>
                    <w:ind w:left="0" w:right="0"/>
                    <w:jc w:val="center"/>
                    <w:rPr>
                      <w:szCs w:val="21"/>
                    </w:rPr>
                  </w:pPr>
                  <w:r>
                    <w:rPr>
                      <w:szCs w:val="21"/>
                    </w:rPr>
                    <w:t>SO</w:t>
                  </w:r>
                  <w:r>
                    <w:rPr>
                      <w:szCs w:val="21"/>
                      <w:vertAlign w:val="subscript"/>
                    </w:rPr>
                    <w:t>2</w:t>
                  </w:r>
                </w:p>
              </w:tc>
              <w:tc>
                <w:tcPr>
                  <w:tcW w:w="1715" w:type="pct"/>
                  <w:tcBorders>
                    <w:bottom w:val="single" w:color="auto" w:sz="4" w:space="0"/>
                  </w:tcBorders>
                  <w:vAlign w:val="center"/>
                </w:tcPr>
                <w:p w14:paraId="57B49FD3">
                  <w:pPr>
                    <w:keepNext w:val="0"/>
                    <w:keepLines w:val="0"/>
                    <w:suppressLineNumbers w:val="0"/>
                    <w:spacing w:before="0" w:beforeAutospacing="0" w:after="0" w:afterAutospacing="0"/>
                    <w:ind w:left="0" w:right="0"/>
                    <w:jc w:val="center"/>
                    <w:rPr>
                      <w:szCs w:val="21"/>
                    </w:rPr>
                  </w:pPr>
                  <w:r>
                    <w:rPr>
                      <w:szCs w:val="21"/>
                    </w:rPr>
                    <w:t>年平均质量浓度</w:t>
                  </w:r>
                </w:p>
              </w:tc>
              <w:tc>
                <w:tcPr>
                  <w:tcW w:w="716" w:type="pct"/>
                  <w:vAlign w:val="center"/>
                </w:tcPr>
                <w:p w14:paraId="706E5750">
                  <w:pPr>
                    <w:keepNext w:val="0"/>
                    <w:keepLines w:val="0"/>
                    <w:suppressLineNumbers w:val="0"/>
                    <w:spacing w:before="0" w:beforeAutospacing="0" w:after="0" w:afterAutospacing="0"/>
                    <w:ind w:left="0" w:right="0"/>
                    <w:jc w:val="center"/>
                    <w:rPr>
                      <w:szCs w:val="21"/>
                    </w:rPr>
                  </w:pPr>
                  <w:r>
                    <w:rPr>
                      <w:szCs w:val="21"/>
                    </w:rPr>
                    <w:t>6</w:t>
                  </w:r>
                </w:p>
              </w:tc>
              <w:tc>
                <w:tcPr>
                  <w:tcW w:w="578" w:type="pct"/>
                  <w:vAlign w:val="center"/>
                </w:tcPr>
                <w:p w14:paraId="366A98DE">
                  <w:pPr>
                    <w:keepNext w:val="0"/>
                    <w:keepLines w:val="0"/>
                    <w:suppressLineNumbers w:val="0"/>
                    <w:spacing w:before="0" w:beforeAutospacing="0" w:after="0" w:afterAutospacing="0"/>
                    <w:ind w:left="0" w:right="0"/>
                    <w:jc w:val="center"/>
                    <w:rPr>
                      <w:szCs w:val="21"/>
                    </w:rPr>
                  </w:pPr>
                  <w:r>
                    <w:rPr>
                      <w:szCs w:val="21"/>
                    </w:rPr>
                    <w:t>60</w:t>
                  </w:r>
                </w:p>
              </w:tc>
              <w:tc>
                <w:tcPr>
                  <w:tcW w:w="693" w:type="pct"/>
                  <w:vAlign w:val="center"/>
                </w:tcPr>
                <w:p w14:paraId="1FCD337C">
                  <w:pPr>
                    <w:keepNext w:val="0"/>
                    <w:keepLines w:val="0"/>
                    <w:suppressLineNumbers w:val="0"/>
                    <w:spacing w:before="0" w:beforeAutospacing="0" w:after="0" w:afterAutospacing="0"/>
                    <w:ind w:left="0" w:right="0"/>
                    <w:jc w:val="center"/>
                    <w:rPr>
                      <w:szCs w:val="21"/>
                    </w:rPr>
                  </w:pPr>
                  <w:r>
                    <w:rPr>
                      <w:szCs w:val="21"/>
                    </w:rPr>
                    <w:t>10</w:t>
                  </w:r>
                </w:p>
              </w:tc>
              <w:tc>
                <w:tcPr>
                  <w:tcW w:w="716" w:type="pct"/>
                  <w:vAlign w:val="center"/>
                </w:tcPr>
                <w:p w14:paraId="6AFF6A4A">
                  <w:pPr>
                    <w:keepNext w:val="0"/>
                    <w:keepLines w:val="0"/>
                    <w:suppressLineNumbers w:val="0"/>
                    <w:spacing w:before="0" w:beforeAutospacing="0" w:after="0" w:afterAutospacing="0"/>
                    <w:ind w:left="0" w:right="0"/>
                    <w:jc w:val="center"/>
                    <w:rPr>
                      <w:szCs w:val="21"/>
                    </w:rPr>
                  </w:pPr>
                  <w:r>
                    <w:rPr>
                      <w:szCs w:val="21"/>
                    </w:rPr>
                    <w:t>达标</w:t>
                  </w:r>
                </w:p>
              </w:tc>
            </w:tr>
            <w:tr w14:paraId="798266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trPr>
              <w:tc>
                <w:tcPr>
                  <w:tcW w:w="578" w:type="pct"/>
                  <w:tcBorders>
                    <w:bottom w:val="single" w:color="auto" w:sz="4" w:space="0"/>
                  </w:tcBorders>
                  <w:vAlign w:val="center"/>
                </w:tcPr>
                <w:p w14:paraId="0D85D77D">
                  <w:pPr>
                    <w:keepNext w:val="0"/>
                    <w:keepLines w:val="0"/>
                    <w:suppressLineNumbers w:val="0"/>
                    <w:spacing w:before="0" w:beforeAutospacing="0" w:after="0" w:afterAutospacing="0"/>
                    <w:ind w:left="0" w:right="0"/>
                    <w:jc w:val="center"/>
                    <w:rPr>
                      <w:szCs w:val="21"/>
                    </w:rPr>
                  </w:pPr>
                  <w:r>
                    <w:rPr>
                      <w:szCs w:val="21"/>
                    </w:rPr>
                    <w:t>NO</w:t>
                  </w:r>
                  <w:r>
                    <w:rPr>
                      <w:szCs w:val="21"/>
                      <w:vertAlign w:val="subscript"/>
                    </w:rPr>
                    <w:t>2</w:t>
                  </w:r>
                </w:p>
              </w:tc>
              <w:tc>
                <w:tcPr>
                  <w:tcW w:w="1715" w:type="pct"/>
                  <w:tcBorders>
                    <w:bottom w:val="single" w:color="auto" w:sz="4" w:space="0"/>
                  </w:tcBorders>
                  <w:vAlign w:val="center"/>
                </w:tcPr>
                <w:p w14:paraId="7EFD6023">
                  <w:pPr>
                    <w:keepNext w:val="0"/>
                    <w:keepLines w:val="0"/>
                    <w:suppressLineNumbers w:val="0"/>
                    <w:spacing w:before="0" w:beforeAutospacing="0" w:after="0" w:afterAutospacing="0"/>
                    <w:ind w:left="0" w:right="0"/>
                    <w:jc w:val="center"/>
                    <w:rPr>
                      <w:szCs w:val="21"/>
                    </w:rPr>
                  </w:pPr>
                  <w:r>
                    <w:rPr>
                      <w:szCs w:val="21"/>
                    </w:rPr>
                    <w:t>年平均质量浓度</w:t>
                  </w:r>
                </w:p>
              </w:tc>
              <w:tc>
                <w:tcPr>
                  <w:tcW w:w="716" w:type="pct"/>
                  <w:vAlign w:val="center"/>
                </w:tcPr>
                <w:p w14:paraId="6954A996">
                  <w:pPr>
                    <w:keepNext w:val="0"/>
                    <w:keepLines w:val="0"/>
                    <w:suppressLineNumbers w:val="0"/>
                    <w:spacing w:before="0" w:beforeAutospacing="0" w:after="0" w:afterAutospacing="0"/>
                    <w:ind w:left="0" w:right="0"/>
                    <w:jc w:val="center"/>
                    <w:rPr>
                      <w:szCs w:val="21"/>
                    </w:rPr>
                  </w:pPr>
                  <w:r>
                    <w:rPr>
                      <w:szCs w:val="21"/>
                    </w:rPr>
                    <w:t>18</w:t>
                  </w:r>
                </w:p>
              </w:tc>
              <w:tc>
                <w:tcPr>
                  <w:tcW w:w="578" w:type="pct"/>
                  <w:vAlign w:val="center"/>
                </w:tcPr>
                <w:p w14:paraId="0D4ED5EF">
                  <w:pPr>
                    <w:keepNext w:val="0"/>
                    <w:keepLines w:val="0"/>
                    <w:suppressLineNumbers w:val="0"/>
                    <w:spacing w:before="0" w:beforeAutospacing="0" w:after="0" w:afterAutospacing="0"/>
                    <w:ind w:left="0" w:right="0"/>
                    <w:jc w:val="center"/>
                    <w:rPr>
                      <w:szCs w:val="21"/>
                    </w:rPr>
                  </w:pPr>
                  <w:r>
                    <w:rPr>
                      <w:szCs w:val="21"/>
                    </w:rPr>
                    <w:t>40</w:t>
                  </w:r>
                </w:p>
              </w:tc>
              <w:tc>
                <w:tcPr>
                  <w:tcW w:w="693" w:type="pct"/>
                  <w:vAlign w:val="center"/>
                </w:tcPr>
                <w:p w14:paraId="00DFAC9A">
                  <w:pPr>
                    <w:keepNext w:val="0"/>
                    <w:keepLines w:val="0"/>
                    <w:suppressLineNumbers w:val="0"/>
                    <w:spacing w:before="0" w:beforeAutospacing="0" w:after="0" w:afterAutospacing="0"/>
                    <w:ind w:left="0" w:right="0"/>
                    <w:jc w:val="center"/>
                    <w:rPr>
                      <w:szCs w:val="21"/>
                    </w:rPr>
                  </w:pPr>
                  <w:r>
                    <w:rPr>
                      <w:szCs w:val="21"/>
                    </w:rPr>
                    <w:t>45</w:t>
                  </w:r>
                </w:p>
              </w:tc>
              <w:tc>
                <w:tcPr>
                  <w:tcW w:w="716" w:type="pct"/>
                  <w:vAlign w:val="center"/>
                </w:tcPr>
                <w:p w14:paraId="033BEEB5">
                  <w:pPr>
                    <w:keepNext w:val="0"/>
                    <w:keepLines w:val="0"/>
                    <w:suppressLineNumbers w:val="0"/>
                    <w:spacing w:before="0" w:beforeAutospacing="0" w:after="0" w:afterAutospacing="0"/>
                    <w:ind w:left="0" w:right="0"/>
                    <w:jc w:val="center"/>
                    <w:rPr>
                      <w:szCs w:val="21"/>
                    </w:rPr>
                  </w:pPr>
                  <w:r>
                    <w:rPr>
                      <w:szCs w:val="21"/>
                    </w:rPr>
                    <w:t>达标</w:t>
                  </w:r>
                </w:p>
              </w:tc>
            </w:tr>
            <w:tr w14:paraId="14F59F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8" w:type="pct"/>
                  <w:tcBorders>
                    <w:bottom w:val="single" w:color="auto" w:sz="4" w:space="0"/>
                  </w:tcBorders>
                  <w:vAlign w:val="center"/>
                </w:tcPr>
                <w:p w14:paraId="14A0CD32">
                  <w:pPr>
                    <w:keepNext w:val="0"/>
                    <w:keepLines w:val="0"/>
                    <w:suppressLineNumbers w:val="0"/>
                    <w:spacing w:before="0" w:beforeAutospacing="0" w:after="0" w:afterAutospacing="0"/>
                    <w:ind w:left="0" w:right="0"/>
                    <w:jc w:val="center"/>
                    <w:rPr>
                      <w:szCs w:val="21"/>
                    </w:rPr>
                  </w:pPr>
                  <w:r>
                    <w:rPr>
                      <w:szCs w:val="21"/>
                    </w:rPr>
                    <w:t>PM</w:t>
                  </w:r>
                  <w:r>
                    <w:rPr>
                      <w:szCs w:val="21"/>
                      <w:vertAlign w:val="subscript"/>
                    </w:rPr>
                    <w:t>10</w:t>
                  </w:r>
                </w:p>
              </w:tc>
              <w:tc>
                <w:tcPr>
                  <w:tcW w:w="1715" w:type="pct"/>
                  <w:tcBorders>
                    <w:bottom w:val="single" w:color="auto" w:sz="4" w:space="0"/>
                  </w:tcBorders>
                  <w:vAlign w:val="center"/>
                </w:tcPr>
                <w:p w14:paraId="284ABD03">
                  <w:pPr>
                    <w:keepNext w:val="0"/>
                    <w:keepLines w:val="0"/>
                    <w:suppressLineNumbers w:val="0"/>
                    <w:spacing w:before="0" w:beforeAutospacing="0" w:after="0" w:afterAutospacing="0"/>
                    <w:ind w:left="0" w:right="0"/>
                    <w:jc w:val="center"/>
                    <w:rPr>
                      <w:szCs w:val="21"/>
                    </w:rPr>
                  </w:pPr>
                  <w:r>
                    <w:rPr>
                      <w:szCs w:val="21"/>
                    </w:rPr>
                    <w:t>年平均质量浓度</w:t>
                  </w:r>
                </w:p>
              </w:tc>
              <w:tc>
                <w:tcPr>
                  <w:tcW w:w="716" w:type="pct"/>
                  <w:vAlign w:val="center"/>
                </w:tcPr>
                <w:p w14:paraId="690AE040">
                  <w:pPr>
                    <w:keepNext w:val="0"/>
                    <w:keepLines w:val="0"/>
                    <w:suppressLineNumbers w:val="0"/>
                    <w:spacing w:before="0" w:beforeAutospacing="0" w:after="0" w:afterAutospacing="0"/>
                    <w:ind w:left="0" w:right="0"/>
                    <w:jc w:val="center"/>
                    <w:rPr>
                      <w:szCs w:val="21"/>
                    </w:rPr>
                  </w:pPr>
                  <w:r>
                    <w:rPr>
                      <w:szCs w:val="21"/>
                    </w:rPr>
                    <w:t>102</w:t>
                  </w:r>
                </w:p>
              </w:tc>
              <w:tc>
                <w:tcPr>
                  <w:tcW w:w="578" w:type="pct"/>
                  <w:vAlign w:val="center"/>
                </w:tcPr>
                <w:p w14:paraId="73023DC0">
                  <w:pPr>
                    <w:keepNext w:val="0"/>
                    <w:keepLines w:val="0"/>
                    <w:suppressLineNumbers w:val="0"/>
                    <w:spacing w:before="0" w:beforeAutospacing="0" w:after="0" w:afterAutospacing="0"/>
                    <w:ind w:left="0" w:right="0"/>
                    <w:jc w:val="center"/>
                    <w:rPr>
                      <w:szCs w:val="21"/>
                    </w:rPr>
                  </w:pPr>
                  <w:r>
                    <w:rPr>
                      <w:szCs w:val="21"/>
                    </w:rPr>
                    <w:t>70</w:t>
                  </w:r>
                </w:p>
              </w:tc>
              <w:tc>
                <w:tcPr>
                  <w:tcW w:w="693" w:type="pct"/>
                  <w:vAlign w:val="center"/>
                </w:tcPr>
                <w:p w14:paraId="4BB8C1E0">
                  <w:pPr>
                    <w:keepNext w:val="0"/>
                    <w:keepLines w:val="0"/>
                    <w:suppressLineNumbers w:val="0"/>
                    <w:spacing w:before="0" w:beforeAutospacing="0" w:after="0" w:afterAutospacing="0"/>
                    <w:ind w:left="0" w:right="0"/>
                    <w:jc w:val="center"/>
                    <w:rPr>
                      <w:szCs w:val="21"/>
                    </w:rPr>
                  </w:pPr>
                  <w:r>
                    <w:rPr>
                      <w:szCs w:val="21"/>
                    </w:rPr>
                    <w:t>145.7</w:t>
                  </w:r>
                </w:p>
              </w:tc>
              <w:tc>
                <w:tcPr>
                  <w:tcW w:w="716" w:type="pct"/>
                  <w:vAlign w:val="center"/>
                </w:tcPr>
                <w:p w14:paraId="537DD702">
                  <w:pPr>
                    <w:keepNext w:val="0"/>
                    <w:keepLines w:val="0"/>
                    <w:suppressLineNumbers w:val="0"/>
                    <w:spacing w:before="0" w:beforeAutospacing="0" w:after="0" w:afterAutospacing="0"/>
                    <w:ind w:left="0" w:right="0"/>
                    <w:jc w:val="center"/>
                    <w:rPr>
                      <w:b/>
                      <w:bCs/>
                      <w:szCs w:val="21"/>
                    </w:rPr>
                  </w:pPr>
                  <w:r>
                    <w:rPr>
                      <w:b/>
                      <w:bCs/>
                      <w:szCs w:val="21"/>
                    </w:rPr>
                    <w:t>不达标</w:t>
                  </w:r>
                </w:p>
              </w:tc>
            </w:tr>
            <w:tr w14:paraId="0308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8" w:type="pct"/>
                  <w:tcBorders>
                    <w:bottom w:val="single" w:color="auto" w:sz="4" w:space="0"/>
                  </w:tcBorders>
                  <w:vAlign w:val="center"/>
                </w:tcPr>
                <w:p w14:paraId="1AF4D9F8">
                  <w:pPr>
                    <w:keepNext w:val="0"/>
                    <w:keepLines w:val="0"/>
                    <w:suppressLineNumbers w:val="0"/>
                    <w:spacing w:before="0" w:beforeAutospacing="0" w:after="0" w:afterAutospacing="0"/>
                    <w:ind w:left="0" w:right="0"/>
                    <w:jc w:val="center"/>
                    <w:rPr>
                      <w:szCs w:val="21"/>
                    </w:rPr>
                  </w:pPr>
                  <w:r>
                    <w:rPr>
                      <w:szCs w:val="21"/>
                    </w:rPr>
                    <w:t>PM</w:t>
                  </w:r>
                  <w:r>
                    <w:rPr>
                      <w:szCs w:val="21"/>
                      <w:vertAlign w:val="subscript"/>
                    </w:rPr>
                    <w:t>2.5</w:t>
                  </w:r>
                </w:p>
              </w:tc>
              <w:tc>
                <w:tcPr>
                  <w:tcW w:w="1715" w:type="pct"/>
                  <w:tcBorders>
                    <w:bottom w:val="single" w:color="auto" w:sz="4" w:space="0"/>
                  </w:tcBorders>
                  <w:vAlign w:val="center"/>
                </w:tcPr>
                <w:p w14:paraId="7068ED04">
                  <w:pPr>
                    <w:keepNext w:val="0"/>
                    <w:keepLines w:val="0"/>
                    <w:suppressLineNumbers w:val="0"/>
                    <w:spacing w:before="0" w:beforeAutospacing="0" w:after="0" w:afterAutospacing="0"/>
                    <w:ind w:left="0" w:right="0"/>
                    <w:jc w:val="center"/>
                    <w:rPr>
                      <w:szCs w:val="21"/>
                    </w:rPr>
                  </w:pPr>
                  <w:r>
                    <w:rPr>
                      <w:szCs w:val="21"/>
                    </w:rPr>
                    <w:t>年平均质量浓度</w:t>
                  </w:r>
                </w:p>
              </w:tc>
              <w:tc>
                <w:tcPr>
                  <w:tcW w:w="716" w:type="pct"/>
                  <w:vAlign w:val="center"/>
                </w:tcPr>
                <w:p w14:paraId="06B01DED">
                  <w:pPr>
                    <w:keepNext w:val="0"/>
                    <w:keepLines w:val="0"/>
                    <w:suppressLineNumbers w:val="0"/>
                    <w:spacing w:before="0" w:beforeAutospacing="0" w:after="0" w:afterAutospacing="0"/>
                    <w:ind w:left="0" w:right="0"/>
                    <w:jc w:val="center"/>
                    <w:rPr>
                      <w:szCs w:val="21"/>
                    </w:rPr>
                  </w:pPr>
                  <w:r>
                    <w:rPr>
                      <w:szCs w:val="21"/>
                    </w:rPr>
                    <w:t>37</w:t>
                  </w:r>
                </w:p>
              </w:tc>
              <w:tc>
                <w:tcPr>
                  <w:tcW w:w="578" w:type="pct"/>
                  <w:vAlign w:val="center"/>
                </w:tcPr>
                <w:p w14:paraId="751D16E4">
                  <w:pPr>
                    <w:keepNext w:val="0"/>
                    <w:keepLines w:val="0"/>
                    <w:suppressLineNumbers w:val="0"/>
                    <w:spacing w:before="0" w:beforeAutospacing="0" w:after="0" w:afterAutospacing="0"/>
                    <w:ind w:left="0" w:right="0"/>
                    <w:jc w:val="center"/>
                    <w:rPr>
                      <w:szCs w:val="21"/>
                    </w:rPr>
                  </w:pPr>
                  <w:r>
                    <w:rPr>
                      <w:szCs w:val="21"/>
                    </w:rPr>
                    <w:t>35</w:t>
                  </w:r>
                </w:p>
              </w:tc>
              <w:tc>
                <w:tcPr>
                  <w:tcW w:w="693" w:type="pct"/>
                  <w:vAlign w:val="center"/>
                </w:tcPr>
                <w:p w14:paraId="6186F391">
                  <w:pPr>
                    <w:keepNext w:val="0"/>
                    <w:keepLines w:val="0"/>
                    <w:suppressLineNumbers w:val="0"/>
                    <w:spacing w:before="0" w:beforeAutospacing="0" w:after="0" w:afterAutospacing="0"/>
                    <w:ind w:left="0" w:right="0"/>
                    <w:jc w:val="center"/>
                    <w:rPr>
                      <w:szCs w:val="21"/>
                    </w:rPr>
                  </w:pPr>
                  <w:r>
                    <w:rPr>
                      <w:szCs w:val="21"/>
                    </w:rPr>
                    <w:t>105.7</w:t>
                  </w:r>
                </w:p>
              </w:tc>
              <w:tc>
                <w:tcPr>
                  <w:tcW w:w="716" w:type="pct"/>
                  <w:vAlign w:val="center"/>
                </w:tcPr>
                <w:p w14:paraId="2416323C">
                  <w:pPr>
                    <w:keepNext w:val="0"/>
                    <w:keepLines w:val="0"/>
                    <w:suppressLineNumbers w:val="0"/>
                    <w:spacing w:before="0" w:beforeAutospacing="0" w:after="0" w:afterAutospacing="0"/>
                    <w:ind w:left="0" w:right="0"/>
                    <w:jc w:val="center"/>
                    <w:rPr>
                      <w:szCs w:val="21"/>
                    </w:rPr>
                  </w:pPr>
                  <w:r>
                    <w:rPr>
                      <w:b/>
                      <w:bCs/>
                      <w:szCs w:val="21"/>
                    </w:rPr>
                    <w:t>不达标</w:t>
                  </w:r>
                </w:p>
              </w:tc>
            </w:tr>
            <w:tr w14:paraId="47BE5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8" w:type="pct"/>
                  <w:tcBorders>
                    <w:top w:val="single" w:color="auto" w:sz="4" w:space="0"/>
                  </w:tcBorders>
                  <w:vAlign w:val="center"/>
                </w:tcPr>
                <w:p w14:paraId="61D5CDF7">
                  <w:pPr>
                    <w:keepNext w:val="0"/>
                    <w:keepLines w:val="0"/>
                    <w:suppressLineNumbers w:val="0"/>
                    <w:spacing w:before="0" w:beforeAutospacing="0" w:after="0" w:afterAutospacing="0"/>
                    <w:ind w:left="0" w:right="0"/>
                    <w:jc w:val="center"/>
                    <w:rPr>
                      <w:szCs w:val="21"/>
                    </w:rPr>
                  </w:pPr>
                  <w:r>
                    <w:rPr>
                      <w:szCs w:val="21"/>
                    </w:rPr>
                    <w:t>CO</w:t>
                  </w:r>
                </w:p>
              </w:tc>
              <w:tc>
                <w:tcPr>
                  <w:tcW w:w="1715" w:type="pct"/>
                  <w:tcBorders>
                    <w:top w:val="single" w:color="auto" w:sz="4" w:space="0"/>
                  </w:tcBorders>
                  <w:vAlign w:val="center"/>
                </w:tcPr>
                <w:p w14:paraId="0626ACE6">
                  <w:pPr>
                    <w:keepNext w:val="0"/>
                    <w:keepLines w:val="0"/>
                    <w:suppressLineNumbers w:val="0"/>
                    <w:spacing w:before="0" w:beforeAutospacing="0" w:after="0" w:afterAutospacing="0"/>
                    <w:ind w:left="0" w:right="0"/>
                    <w:jc w:val="center"/>
                    <w:rPr>
                      <w:szCs w:val="21"/>
                    </w:rPr>
                  </w:pPr>
                  <w:r>
                    <w:rPr>
                      <w:szCs w:val="21"/>
                    </w:rPr>
                    <w:t>日平均第95百分位数</w:t>
                  </w:r>
                </w:p>
              </w:tc>
              <w:tc>
                <w:tcPr>
                  <w:tcW w:w="716" w:type="pct"/>
                  <w:vAlign w:val="center"/>
                </w:tcPr>
                <w:p w14:paraId="40E8211D">
                  <w:pPr>
                    <w:keepNext w:val="0"/>
                    <w:keepLines w:val="0"/>
                    <w:suppressLineNumbers w:val="0"/>
                    <w:spacing w:before="0" w:beforeAutospacing="0" w:after="0" w:afterAutospacing="0"/>
                    <w:ind w:left="0" w:right="0"/>
                    <w:jc w:val="center"/>
                    <w:rPr>
                      <w:szCs w:val="21"/>
                    </w:rPr>
                  </w:pPr>
                  <w:r>
                    <w:rPr>
                      <w:szCs w:val="21"/>
                    </w:rPr>
                    <w:t>1000</w:t>
                  </w:r>
                </w:p>
              </w:tc>
              <w:tc>
                <w:tcPr>
                  <w:tcW w:w="578" w:type="pct"/>
                  <w:vAlign w:val="center"/>
                </w:tcPr>
                <w:p w14:paraId="137B16AC">
                  <w:pPr>
                    <w:keepNext w:val="0"/>
                    <w:keepLines w:val="0"/>
                    <w:suppressLineNumbers w:val="0"/>
                    <w:spacing w:before="0" w:beforeAutospacing="0" w:after="0" w:afterAutospacing="0"/>
                    <w:ind w:left="0" w:right="0"/>
                    <w:jc w:val="center"/>
                    <w:rPr>
                      <w:szCs w:val="21"/>
                    </w:rPr>
                  </w:pPr>
                  <w:r>
                    <w:rPr>
                      <w:szCs w:val="21"/>
                    </w:rPr>
                    <w:t>4000</w:t>
                  </w:r>
                </w:p>
              </w:tc>
              <w:tc>
                <w:tcPr>
                  <w:tcW w:w="693" w:type="pct"/>
                  <w:vAlign w:val="center"/>
                </w:tcPr>
                <w:p w14:paraId="48AC6AAE">
                  <w:pPr>
                    <w:keepNext w:val="0"/>
                    <w:keepLines w:val="0"/>
                    <w:suppressLineNumbers w:val="0"/>
                    <w:spacing w:before="0" w:beforeAutospacing="0" w:after="0" w:afterAutospacing="0"/>
                    <w:ind w:left="0" w:right="0"/>
                    <w:jc w:val="center"/>
                    <w:rPr>
                      <w:szCs w:val="21"/>
                    </w:rPr>
                  </w:pPr>
                  <w:r>
                    <w:rPr>
                      <w:szCs w:val="21"/>
                    </w:rPr>
                    <w:t>25</w:t>
                  </w:r>
                </w:p>
              </w:tc>
              <w:tc>
                <w:tcPr>
                  <w:tcW w:w="716" w:type="pct"/>
                  <w:vAlign w:val="center"/>
                </w:tcPr>
                <w:p w14:paraId="4916B651">
                  <w:pPr>
                    <w:keepNext w:val="0"/>
                    <w:keepLines w:val="0"/>
                    <w:suppressLineNumbers w:val="0"/>
                    <w:spacing w:before="0" w:beforeAutospacing="0" w:after="0" w:afterAutospacing="0"/>
                    <w:ind w:left="0" w:right="0"/>
                    <w:jc w:val="center"/>
                    <w:rPr>
                      <w:szCs w:val="21"/>
                    </w:rPr>
                  </w:pPr>
                  <w:r>
                    <w:rPr>
                      <w:szCs w:val="21"/>
                    </w:rPr>
                    <w:t>达标</w:t>
                  </w:r>
                </w:p>
              </w:tc>
            </w:tr>
            <w:tr w14:paraId="1167CB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8" w:type="pct"/>
                  <w:tcBorders>
                    <w:top w:val="single" w:color="auto" w:sz="4" w:space="0"/>
                  </w:tcBorders>
                  <w:vAlign w:val="center"/>
                </w:tcPr>
                <w:p w14:paraId="5817A429">
                  <w:pPr>
                    <w:keepNext w:val="0"/>
                    <w:keepLines w:val="0"/>
                    <w:suppressLineNumbers w:val="0"/>
                    <w:spacing w:before="0" w:beforeAutospacing="0" w:after="0" w:afterAutospacing="0"/>
                    <w:ind w:left="0" w:right="0"/>
                    <w:jc w:val="center"/>
                    <w:rPr>
                      <w:szCs w:val="21"/>
                    </w:rPr>
                  </w:pPr>
                  <w:r>
                    <w:rPr>
                      <w:szCs w:val="21"/>
                    </w:rPr>
                    <w:t>O</w:t>
                  </w:r>
                  <w:r>
                    <w:rPr>
                      <w:szCs w:val="21"/>
                      <w:vertAlign w:val="subscript"/>
                    </w:rPr>
                    <w:t>3</w:t>
                  </w:r>
                </w:p>
              </w:tc>
              <w:tc>
                <w:tcPr>
                  <w:tcW w:w="1715" w:type="pct"/>
                  <w:tcBorders>
                    <w:top w:val="single" w:color="auto" w:sz="4" w:space="0"/>
                  </w:tcBorders>
                  <w:vAlign w:val="center"/>
                </w:tcPr>
                <w:p w14:paraId="0DB8304E">
                  <w:pPr>
                    <w:keepNext w:val="0"/>
                    <w:keepLines w:val="0"/>
                    <w:suppressLineNumbers w:val="0"/>
                    <w:spacing w:before="0" w:beforeAutospacing="0" w:after="0" w:afterAutospacing="0"/>
                    <w:ind w:left="0" w:right="0"/>
                    <w:jc w:val="center"/>
                    <w:rPr>
                      <w:szCs w:val="21"/>
                    </w:rPr>
                  </w:pPr>
                  <w:r>
                    <w:rPr>
                      <w:szCs w:val="21"/>
                    </w:rPr>
                    <w:t>8小时平均第90百分位数</w:t>
                  </w:r>
                </w:p>
              </w:tc>
              <w:tc>
                <w:tcPr>
                  <w:tcW w:w="716" w:type="pct"/>
                  <w:vAlign w:val="center"/>
                </w:tcPr>
                <w:p w14:paraId="6D35CC8A">
                  <w:pPr>
                    <w:keepNext w:val="0"/>
                    <w:keepLines w:val="0"/>
                    <w:suppressLineNumbers w:val="0"/>
                    <w:spacing w:before="0" w:beforeAutospacing="0" w:after="0" w:afterAutospacing="0"/>
                    <w:ind w:left="0" w:right="0"/>
                    <w:jc w:val="center"/>
                    <w:rPr>
                      <w:szCs w:val="21"/>
                    </w:rPr>
                  </w:pPr>
                  <w:r>
                    <w:rPr>
                      <w:szCs w:val="21"/>
                    </w:rPr>
                    <w:t>130</w:t>
                  </w:r>
                </w:p>
              </w:tc>
              <w:tc>
                <w:tcPr>
                  <w:tcW w:w="578" w:type="pct"/>
                  <w:vAlign w:val="center"/>
                </w:tcPr>
                <w:p w14:paraId="28B6AFD6">
                  <w:pPr>
                    <w:keepNext w:val="0"/>
                    <w:keepLines w:val="0"/>
                    <w:suppressLineNumbers w:val="0"/>
                    <w:spacing w:before="0" w:beforeAutospacing="0" w:after="0" w:afterAutospacing="0"/>
                    <w:ind w:left="0" w:right="0"/>
                    <w:jc w:val="center"/>
                    <w:rPr>
                      <w:szCs w:val="21"/>
                    </w:rPr>
                  </w:pPr>
                  <w:r>
                    <w:rPr>
                      <w:szCs w:val="21"/>
                    </w:rPr>
                    <w:t>160</w:t>
                  </w:r>
                </w:p>
              </w:tc>
              <w:tc>
                <w:tcPr>
                  <w:tcW w:w="693" w:type="pct"/>
                  <w:vAlign w:val="center"/>
                </w:tcPr>
                <w:p w14:paraId="56439281">
                  <w:pPr>
                    <w:keepNext w:val="0"/>
                    <w:keepLines w:val="0"/>
                    <w:suppressLineNumbers w:val="0"/>
                    <w:spacing w:before="0" w:beforeAutospacing="0" w:after="0" w:afterAutospacing="0"/>
                    <w:ind w:left="0" w:right="0"/>
                    <w:jc w:val="center"/>
                    <w:rPr>
                      <w:szCs w:val="21"/>
                    </w:rPr>
                  </w:pPr>
                  <w:r>
                    <w:rPr>
                      <w:szCs w:val="21"/>
                    </w:rPr>
                    <w:t>81.3</w:t>
                  </w:r>
                </w:p>
              </w:tc>
              <w:tc>
                <w:tcPr>
                  <w:tcW w:w="716" w:type="pct"/>
                  <w:vAlign w:val="center"/>
                </w:tcPr>
                <w:p w14:paraId="56532789">
                  <w:pPr>
                    <w:keepNext w:val="0"/>
                    <w:keepLines w:val="0"/>
                    <w:suppressLineNumbers w:val="0"/>
                    <w:spacing w:before="0" w:beforeAutospacing="0" w:after="0" w:afterAutospacing="0"/>
                    <w:ind w:left="0" w:right="0"/>
                    <w:jc w:val="center"/>
                    <w:rPr>
                      <w:szCs w:val="21"/>
                    </w:rPr>
                  </w:pPr>
                  <w:r>
                    <w:rPr>
                      <w:szCs w:val="21"/>
                    </w:rPr>
                    <w:t>达标</w:t>
                  </w:r>
                </w:p>
              </w:tc>
            </w:tr>
          </w:tbl>
          <w:p w14:paraId="2E68643D">
            <w:pPr>
              <w:spacing w:line="360" w:lineRule="auto"/>
              <w:ind w:firstLine="480" w:firstLineChars="200"/>
            </w:pPr>
            <w:r>
              <w:rPr>
                <w:rFonts w:ascii="宋体" w:hAnsi="宋体"/>
                <w:sz w:val="24"/>
              </w:rPr>
              <w:t>根据上表基本污染物的年评价指标的分析结果</w:t>
            </w:r>
            <w:r>
              <w:rPr>
                <w:rFonts w:hint="eastAsia" w:ascii="宋体" w:hAnsi="宋体"/>
                <w:sz w:val="24"/>
              </w:rPr>
              <w:t>可知</w:t>
            </w:r>
            <w:r>
              <w:rPr>
                <w:rFonts w:ascii="宋体" w:hAnsi="宋体"/>
                <w:sz w:val="24"/>
              </w:rPr>
              <w:t>，项目所在区域</w:t>
            </w:r>
            <w:r>
              <w:rPr>
                <w:sz w:val="24"/>
              </w:rPr>
              <w:t>PM</w:t>
            </w:r>
            <w:r>
              <w:rPr>
                <w:sz w:val="24"/>
                <w:vertAlign w:val="subscript"/>
              </w:rPr>
              <w:t>10</w:t>
            </w:r>
            <w:r>
              <w:rPr>
                <w:rFonts w:hint="eastAsia" w:ascii="宋体" w:hAnsi="宋体"/>
                <w:sz w:val="24"/>
              </w:rPr>
              <w:t>、</w:t>
            </w:r>
            <w:r>
              <w:rPr>
                <w:sz w:val="24"/>
              </w:rPr>
              <w:t>PM</w:t>
            </w:r>
            <w:r>
              <w:rPr>
                <w:sz w:val="24"/>
                <w:vertAlign w:val="subscript"/>
              </w:rPr>
              <w:t>2.5</w:t>
            </w:r>
            <w:r>
              <w:rPr>
                <w:rFonts w:hint="eastAsia" w:ascii="宋体" w:hAnsi="宋体"/>
                <w:sz w:val="24"/>
              </w:rPr>
              <w:t>超过</w:t>
            </w:r>
            <w:r>
              <w:rPr>
                <w:rFonts w:ascii="宋体" w:hAnsi="宋体"/>
                <w:sz w:val="24"/>
              </w:rPr>
              <w:t>《环境空气质量标准》</w:t>
            </w:r>
            <w:r>
              <w:rPr>
                <w:rFonts w:hint="eastAsia" w:ascii="宋体" w:hAnsi="宋体"/>
                <w:sz w:val="24"/>
              </w:rPr>
              <w:t>（</w:t>
            </w:r>
            <w:r>
              <w:rPr>
                <w:sz w:val="24"/>
              </w:rPr>
              <w:t>GB3095-2012</w:t>
            </w:r>
            <w:r>
              <w:rPr>
                <w:rFonts w:ascii="宋体" w:hAnsi="宋体"/>
                <w:sz w:val="24"/>
              </w:rPr>
              <w:t>）中二级标准限值</w:t>
            </w:r>
            <w:r>
              <w:rPr>
                <w:rFonts w:hint="eastAsia" w:ascii="宋体" w:hAnsi="宋体"/>
                <w:sz w:val="24"/>
              </w:rPr>
              <w:t>，该区域为环境空气不达标区。超标主要是与当地气候条件和地理位置有关，评价区大气由于受到当地干旱气候的影响，空气中</w:t>
            </w:r>
            <w:r>
              <w:rPr>
                <w:sz w:val="24"/>
              </w:rPr>
              <w:t>PM</w:t>
            </w:r>
            <w:r>
              <w:rPr>
                <w:sz w:val="24"/>
                <w:vertAlign w:val="subscript"/>
              </w:rPr>
              <w:t>2.5</w:t>
            </w:r>
            <w:r>
              <w:rPr>
                <w:rFonts w:hint="eastAsia" w:ascii="宋体" w:hAnsi="宋体"/>
                <w:sz w:val="24"/>
              </w:rPr>
              <w:t>、</w:t>
            </w:r>
            <w:r>
              <w:rPr>
                <w:sz w:val="24"/>
              </w:rPr>
              <w:t>PM</w:t>
            </w:r>
            <w:r>
              <w:rPr>
                <w:sz w:val="24"/>
                <w:vertAlign w:val="subscript"/>
              </w:rPr>
              <w:t>10</w:t>
            </w:r>
            <w:r>
              <w:rPr>
                <w:rFonts w:hint="eastAsia" w:ascii="宋体" w:hAnsi="宋体"/>
                <w:sz w:val="24"/>
              </w:rPr>
              <w:t>的本底值偏高，尤其在沙尘暴和浮尘天气，会出现严重超标。</w:t>
            </w:r>
          </w:p>
          <w:p w14:paraId="59904811">
            <w:pPr>
              <w:widowControl/>
              <w:spacing w:line="360" w:lineRule="auto"/>
              <w:jc w:val="left"/>
              <w:rPr>
                <w:b/>
                <w:bCs/>
                <w:spacing w:val="3"/>
                <w:sz w:val="24"/>
              </w:rPr>
            </w:pPr>
            <w:r>
              <w:rPr>
                <w:rFonts w:hint="eastAsia"/>
                <w:b/>
                <w:bCs/>
                <w:spacing w:val="3"/>
                <w:sz w:val="24"/>
              </w:rPr>
              <w:t>4、声环境现状评价</w:t>
            </w:r>
          </w:p>
          <w:p w14:paraId="4B4DEC5E">
            <w:pPr>
              <w:widowControl/>
              <w:spacing w:line="360" w:lineRule="auto"/>
              <w:jc w:val="left"/>
              <w:rPr>
                <w:b/>
                <w:bCs/>
                <w:spacing w:val="3"/>
                <w:sz w:val="24"/>
              </w:rPr>
            </w:pPr>
            <w:r>
              <w:rPr>
                <w:rFonts w:hint="eastAsia"/>
                <w:b/>
                <w:bCs/>
                <w:spacing w:val="3"/>
                <w:sz w:val="24"/>
              </w:rPr>
              <w:t>4.1</w:t>
            </w:r>
            <w:r>
              <w:rPr>
                <w:b/>
                <w:bCs/>
                <w:spacing w:val="3"/>
                <w:sz w:val="24"/>
              </w:rPr>
              <w:t xml:space="preserve"> 监测因子</w:t>
            </w:r>
          </w:p>
          <w:p w14:paraId="232262AF">
            <w:pPr>
              <w:widowControl/>
              <w:spacing w:line="360" w:lineRule="auto"/>
              <w:ind w:firstLine="492" w:firstLineChars="200"/>
              <w:jc w:val="left"/>
              <w:rPr>
                <w:spacing w:val="3"/>
                <w:sz w:val="24"/>
              </w:rPr>
            </w:pPr>
            <w:r>
              <w:rPr>
                <w:spacing w:val="3"/>
                <w:sz w:val="24"/>
              </w:rPr>
              <w:t>昼间、夜间等效声级。</w:t>
            </w:r>
          </w:p>
          <w:p w14:paraId="6E700062">
            <w:pPr>
              <w:widowControl/>
              <w:spacing w:line="360" w:lineRule="auto"/>
              <w:jc w:val="left"/>
            </w:pPr>
            <w:r>
              <w:rPr>
                <w:rFonts w:hint="eastAsia"/>
                <w:b/>
                <w:bCs/>
                <w:color w:val="000000"/>
                <w:kern w:val="0"/>
                <w:sz w:val="24"/>
              </w:rPr>
              <w:t>4.2</w:t>
            </w:r>
            <w:r>
              <w:rPr>
                <w:b/>
                <w:bCs/>
                <w:color w:val="000000"/>
                <w:kern w:val="0"/>
                <w:sz w:val="24"/>
              </w:rPr>
              <w:t xml:space="preserve"> 监测</w:t>
            </w:r>
            <w:r>
              <w:rPr>
                <w:rFonts w:hint="eastAsia" w:ascii="宋体" w:hAnsi="宋体" w:cs="宋体"/>
                <w:b/>
                <w:bCs/>
                <w:color w:val="000000"/>
                <w:kern w:val="0"/>
                <w:sz w:val="24"/>
              </w:rPr>
              <w:t>方法及布点原则</w:t>
            </w:r>
          </w:p>
          <w:p w14:paraId="04565A44">
            <w:pPr>
              <w:widowControl/>
              <w:spacing w:line="360" w:lineRule="auto"/>
              <w:ind w:firstLine="480" w:firstLineChars="200"/>
              <w:jc w:val="left"/>
            </w:pPr>
            <w:r>
              <w:rPr>
                <w:rFonts w:hint="eastAsia" w:ascii="宋体" w:hAnsi="宋体" w:cs="宋体"/>
                <w:color w:val="000000"/>
                <w:kern w:val="0"/>
                <w:sz w:val="24"/>
              </w:rPr>
              <w:t>监测</w:t>
            </w:r>
            <w:r>
              <w:rPr>
                <w:color w:val="000000"/>
                <w:kern w:val="0"/>
                <w:sz w:val="24"/>
              </w:rPr>
              <w:t>方法：《声环境质量标准》(GB3096-2008)。</w:t>
            </w:r>
          </w:p>
          <w:p w14:paraId="6BC39FAE">
            <w:pPr>
              <w:widowControl/>
              <w:spacing w:line="360" w:lineRule="auto"/>
              <w:ind w:firstLine="480" w:firstLineChars="200"/>
              <w:jc w:val="left"/>
              <w:rPr>
                <w:color w:val="000000"/>
                <w:kern w:val="0"/>
                <w:sz w:val="24"/>
              </w:rPr>
            </w:pPr>
            <w:r>
              <w:rPr>
                <w:color w:val="000000"/>
                <w:kern w:val="0"/>
                <w:sz w:val="24"/>
              </w:rPr>
              <w:t>布点原则：根据《环境影响评价技术导则声环境》(HJ2.4-2021)的要求，本次评价在</w:t>
            </w:r>
            <w:r>
              <w:rPr>
                <w:rFonts w:hint="eastAsia"/>
                <w:sz w:val="24"/>
              </w:rPr>
              <w:t>京能吐鲁番市托克逊县产业园区低碳转型光伏项目220千伏输变电工程项目的220kV升压站</w:t>
            </w:r>
            <w:r>
              <w:rPr>
                <w:rFonts w:hint="eastAsia"/>
                <w:color w:val="000000"/>
                <w:kern w:val="0"/>
                <w:sz w:val="24"/>
              </w:rPr>
              <w:t>设置5个现状监测点，</w:t>
            </w:r>
            <w:r>
              <w:rPr>
                <w:color w:val="000000"/>
                <w:kern w:val="0"/>
                <w:sz w:val="24"/>
              </w:rPr>
              <w:t>220</w:t>
            </w:r>
            <w:r>
              <w:rPr>
                <w:rFonts w:hint="eastAsia"/>
                <w:color w:val="000000"/>
                <w:kern w:val="0"/>
                <w:sz w:val="24"/>
              </w:rPr>
              <w:t>kV输电线路</w:t>
            </w:r>
            <w:r>
              <w:rPr>
                <w:color w:val="000000"/>
                <w:kern w:val="0"/>
                <w:sz w:val="24"/>
              </w:rPr>
              <w:t>设置3个现状监测点</w:t>
            </w:r>
            <w:r>
              <w:rPr>
                <w:rFonts w:hint="eastAsia"/>
                <w:color w:val="000000" w:themeColor="text1"/>
                <w:kern w:val="0"/>
                <w:sz w:val="24"/>
                <w:lang w:eastAsia="zh-CN"/>
              </w:rPr>
              <w:t>，库米什</w:t>
            </w:r>
            <w:r>
              <w:rPr>
                <w:rFonts w:hint="eastAsia"/>
                <w:color w:val="000000" w:themeColor="text1"/>
                <w:kern w:val="0"/>
                <w:sz w:val="24"/>
                <w:lang w:val="en-US" w:eastAsia="zh-CN"/>
              </w:rPr>
              <w:t>220kV变电站扩建间隔设置5个现状监测点</w:t>
            </w:r>
            <w:r>
              <w:rPr>
                <w:color w:val="000000" w:themeColor="text1"/>
                <w:kern w:val="0"/>
                <w:sz w:val="24"/>
              </w:rPr>
              <w:t>。</w:t>
            </w:r>
          </w:p>
          <w:p w14:paraId="747F8A78">
            <w:pPr>
              <w:widowControl/>
              <w:spacing w:line="360" w:lineRule="auto"/>
              <w:jc w:val="left"/>
            </w:pPr>
            <w:r>
              <w:rPr>
                <w:rFonts w:hint="eastAsia"/>
                <w:b/>
                <w:bCs/>
                <w:color w:val="000000"/>
                <w:kern w:val="0"/>
                <w:sz w:val="24"/>
              </w:rPr>
              <w:t>4.3 监测单位及监测时间</w:t>
            </w:r>
            <w:r>
              <w:rPr>
                <w:rFonts w:hint="eastAsia" w:ascii="宋体" w:hAnsi="宋体" w:cs="宋体"/>
                <w:b/>
                <w:bCs/>
                <w:color w:val="000000"/>
                <w:kern w:val="0"/>
                <w:sz w:val="24"/>
              </w:rPr>
              <w:t xml:space="preserve"> </w:t>
            </w:r>
          </w:p>
          <w:p w14:paraId="0611BE55">
            <w:pPr>
              <w:widowControl/>
              <w:spacing w:line="360" w:lineRule="auto"/>
              <w:ind w:firstLine="480" w:firstLineChars="200"/>
              <w:jc w:val="left"/>
            </w:pPr>
            <w:r>
              <w:rPr>
                <w:rFonts w:hint="eastAsia" w:ascii="宋体" w:hAnsi="宋体" w:cs="宋体"/>
                <w:color w:val="000000"/>
                <w:kern w:val="0"/>
                <w:sz w:val="24"/>
              </w:rPr>
              <w:t>监测单位：新疆锡水金山环境科技有限公司</w:t>
            </w:r>
          </w:p>
          <w:p w14:paraId="443B6DF2">
            <w:pPr>
              <w:widowControl/>
              <w:spacing w:line="360" w:lineRule="auto"/>
              <w:ind w:firstLine="480" w:firstLineChars="200"/>
              <w:jc w:val="left"/>
              <w:rPr>
                <w:color w:val="000000"/>
                <w:kern w:val="0"/>
                <w:sz w:val="24"/>
              </w:rPr>
            </w:pPr>
            <w:r>
              <w:rPr>
                <w:rFonts w:hint="eastAsia" w:ascii="宋体" w:hAnsi="宋体" w:cs="宋体"/>
                <w:color w:val="000000"/>
                <w:kern w:val="0"/>
                <w:sz w:val="24"/>
              </w:rPr>
              <w:t>监测时</w:t>
            </w:r>
            <w:r>
              <w:rPr>
                <w:color w:val="000000"/>
                <w:kern w:val="0"/>
                <w:sz w:val="24"/>
              </w:rPr>
              <w:t>间：</w:t>
            </w:r>
            <w:r>
              <w:rPr>
                <w:rFonts w:hint="eastAsia"/>
                <w:color w:val="000000"/>
                <w:kern w:val="0"/>
                <w:sz w:val="24"/>
              </w:rPr>
              <w:t>2024年</w:t>
            </w:r>
            <w:r>
              <w:rPr>
                <w:color w:val="000000"/>
                <w:kern w:val="0"/>
                <w:sz w:val="24"/>
              </w:rPr>
              <w:t>9月</w:t>
            </w:r>
            <w:r>
              <w:rPr>
                <w:rFonts w:hint="eastAsia"/>
                <w:color w:val="000000"/>
                <w:kern w:val="0"/>
                <w:sz w:val="24"/>
              </w:rPr>
              <w:t>19</w:t>
            </w:r>
            <w:r>
              <w:rPr>
                <w:color w:val="000000"/>
                <w:kern w:val="0"/>
                <w:sz w:val="24"/>
              </w:rPr>
              <w:t>日</w:t>
            </w:r>
          </w:p>
          <w:p w14:paraId="53991474">
            <w:pPr>
              <w:widowControl/>
              <w:spacing w:line="360" w:lineRule="auto"/>
              <w:ind w:firstLine="480" w:firstLineChars="200"/>
              <w:jc w:val="left"/>
              <w:rPr>
                <w:rFonts w:hint="default" w:eastAsia="宋体"/>
                <w:color w:val="000000"/>
                <w:kern w:val="0"/>
                <w:sz w:val="24"/>
                <w:lang w:val="en-US" w:eastAsia="zh-CN"/>
              </w:rPr>
            </w:pPr>
            <w:r>
              <w:rPr>
                <w:rFonts w:hint="eastAsia"/>
                <w:color w:val="000000"/>
                <w:kern w:val="0"/>
                <w:sz w:val="24"/>
                <w:lang w:val="en-US" w:eastAsia="zh-CN"/>
              </w:rPr>
              <w:t xml:space="preserve">          2025年4月9日 </w:t>
            </w:r>
          </w:p>
          <w:p w14:paraId="1EA1DFA5">
            <w:pPr>
              <w:widowControl/>
              <w:spacing w:line="360" w:lineRule="auto"/>
              <w:jc w:val="left"/>
              <w:rPr>
                <w:b/>
                <w:bCs/>
                <w:color w:val="000000"/>
                <w:kern w:val="0"/>
                <w:sz w:val="24"/>
              </w:rPr>
            </w:pPr>
            <w:r>
              <w:rPr>
                <w:rFonts w:hint="eastAsia"/>
                <w:b/>
                <w:bCs/>
                <w:color w:val="000000"/>
                <w:kern w:val="0"/>
                <w:sz w:val="24"/>
              </w:rPr>
              <w:t>4.4 监测仪器、监测条件</w:t>
            </w:r>
          </w:p>
          <w:p w14:paraId="785FA737">
            <w:pPr>
              <w:widowControl/>
              <w:spacing w:line="360" w:lineRule="auto"/>
              <w:ind w:firstLine="480" w:firstLineChars="200"/>
              <w:jc w:val="left"/>
              <w:rPr>
                <w:color w:val="000000"/>
                <w:kern w:val="0"/>
                <w:sz w:val="24"/>
              </w:rPr>
            </w:pPr>
            <w:r>
              <w:rPr>
                <w:rFonts w:hint="eastAsia"/>
                <w:color w:val="000000"/>
                <w:kern w:val="0"/>
                <w:sz w:val="24"/>
              </w:rPr>
              <w:t>监测仪器参数，见表3-5。</w:t>
            </w:r>
          </w:p>
          <w:p w14:paraId="523B79CF">
            <w:pPr>
              <w:widowControl/>
              <w:jc w:val="center"/>
              <w:rPr>
                <w:rFonts w:ascii="宋体" w:hAnsi="宋体" w:cs="宋体"/>
                <w:b/>
                <w:bCs/>
                <w:color w:val="000000"/>
                <w:kern w:val="0"/>
                <w:sz w:val="24"/>
              </w:rPr>
            </w:pPr>
            <w:r>
              <w:rPr>
                <w:rFonts w:hint="eastAsia"/>
                <w:b/>
                <w:bCs/>
                <w:color w:val="000000"/>
                <w:kern w:val="0"/>
                <w:sz w:val="24"/>
              </w:rPr>
              <w:t xml:space="preserve">表3-5  </w:t>
            </w:r>
            <w:r>
              <w:rPr>
                <w:rFonts w:hint="eastAsia"/>
                <w:color w:val="000000"/>
                <w:kern w:val="0"/>
                <w:sz w:val="24"/>
              </w:rPr>
              <w:t xml:space="preserve"> </w:t>
            </w:r>
            <w:r>
              <w:rPr>
                <w:rFonts w:hint="eastAsia" w:ascii="宋体" w:hAnsi="宋体" w:cs="宋体"/>
                <w:b/>
                <w:bCs/>
                <w:color w:val="000000"/>
                <w:kern w:val="0"/>
                <w:sz w:val="24"/>
              </w:rPr>
              <w:t>测量设备特性表</w:t>
            </w:r>
          </w:p>
          <w:tbl>
            <w:tblPr>
              <w:tblStyle w:val="22"/>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86"/>
              <w:gridCol w:w="2229"/>
              <w:gridCol w:w="1717"/>
              <w:gridCol w:w="2108"/>
            </w:tblGrid>
            <w:tr w14:paraId="1495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55" w:type="dxa"/>
                  <w:vAlign w:val="center"/>
                </w:tcPr>
                <w:p w14:paraId="61190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序号</w:t>
                  </w:r>
                </w:p>
              </w:tc>
              <w:tc>
                <w:tcPr>
                  <w:tcW w:w="1386" w:type="dxa"/>
                  <w:vAlign w:val="center"/>
                </w:tcPr>
                <w:p w14:paraId="175A4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监测项目</w:t>
                  </w:r>
                </w:p>
              </w:tc>
              <w:tc>
                <w:tcPr>
                  <w:tcW w:w="2229" w:type="dxa"/>
                  <w:vAlign w:val="center"/>
                </w:tcPr>
                <w:p w14:paraId="792B4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设备名称</w:t>
                  </w:r>
                </w:p>
              </w:tc>
              <w:tc>
                <w:tcPr>
                  <w:tcW w:w="1717" w:type="dxa"/>
                  <w:vAlign w:val="center"/>
                </w:tcPr>
                <w:p w14:paraId="59264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设备编号</w:t>
                  </w:r>
                </w:p>
              </w:tc>
              <w:tc>
                <w:tcPr>
                  <w:tcW w:w="2108" w:type="dxa"/>
                  <w:vAlign w:val="center"/>
                </w:tcPr>
                <w:p w14:paraId="059E4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检定/校准</w:t>
                  </w:r>
                </w:p>
                <w:p w14:paraId="7BBB8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机构</w:t>
                  </w:r>
                </w:p>
              </w:tc>
            </w:tr>
            <w:tr w14:paraId="748C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471B7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1</w:t>
                  </w:r>
                </w:p>
              </w:tc>
              <w:tc>
                <w:tcPr>
                  <w:tcW w:w="1386" w:type="dxa"/>
                  <w:vMerge w:val="restart"/>
                  <w:vAlign w:val="center"/>
                </w:tcPr>
                <w:p w14:paraId="78044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eastAsia="zh-CN"/>
                    </w:rPr>
                  </w:pPr>
                  <w:r>
                    <w:rPr>
                      <w:rFonts w:hint="eastAsia"/>
                      <w:szCs w:val="21"/>
                    </w:rPr>
                    <w:t>噪声</w:t>
                  </w:r>
                  <w:r>
                    <w:rPr>
                      <w:rFonts w:hint="eastAsia"/>
                      <w:szCs w:val="21"/>
                    </w:rPr>
                    <w:br w:type="textWrapping"/>
                  </w:r>
                  <w:r>
                    <w:rPr>
                      <w:rFonts w:hint="eastAsia"/>
                      <w:szCs w:val="21"/>
                      <w:lang w:eastAsia="zh-CN"/>
                    </w:rPr>
                    <w:t>（</w:t>
                  </w:r>
                  <w:r>
                    <w:rPr>
                      <w:rFonts w:hint="eastAsia"/>
                      <w:szCs w:val="21"/>
                      <w:lang w:val="en-US" w:eastAsia="zh-CN"/>
                    </w:rPr>
                    <w:t>2024.9.19</w:t>
                  </w:r>
                  <w:r>
                    <w:rPr>
                      <w:rFonts w:hint="eastAsia"/>
                      <w:szCs w:val="21"/>
                      <w:lang w:eastAsia="zh-CN"/>
                    </w:rPr>
                    <w:t>）</w:t>
                  </w:r>
                </w:p>
              </w:tc>
              <w:tc>
                <w:tcPr>
                  <w:tcW w:w="2229" w:type="dxa"/>
                  <w:shd w:val="clear" w:color="auto" w:fill="auto"/>
                  <w:vAlign w:val="center"/>
                </w:tcPr>
                <w:p w14:paraId="13B14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AS8336型风速仪</w:t>
                  </w:r>
                </w:p>
              </w:tc>
              <w:tc>
                <w:tcPr>
                  <w:tcW w:w="1717" w:type="dxa"/>
                  <w:shd w:val="clear" w:color="auto" w:fill="auto"/>
                  <w:vAlign w:val="center"/>
                </w:tcPr>
                <w:p w14:paraId="068BE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XSJS/YQ-36-9</w:t>
                  </w:r>
                </w:p>
              </w:tc>
              <w:tc>
                <w:tcPr>
                  <w:tcW w:w="2108" w:type="dxa"/>
                  <w:vAlign w:val="center"/>
                </w:tcPr>
                <w:p w14:paraId="387A8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广电计量检</w:t>
                  </w:r>
                </w:p>
                <w:p w14:paraId="34EB6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测集团股份</w:t>
                  </w:r>
                </w:p>
                <w:p w14:paraId="67B08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有限公司</w:t>
                  </w:r>
                </w:p>
              </w:tc>
            </w:tr>
            <w:tr w14:paraId="5607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57C41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2</w:t>
                  </w:r>
                </w:p>
              </w:tc>
              <w:tc>
                <w:tcPr>
                  <w:tcW w:w="1386" w:type="dxa"/>
                  <w:vMerge w:val="continue"/>
                  <w:vAlign w:val="center"/>
                </w:tcPr>
                <w:p w14:paraId="18FE0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p>
              </w:tc>
              <w:tc>
                <w:tcPr>
                  <w:tcW w:w="2229" w:type="dxa"/>
                  <w:shd w:val="clear" w:color="auto" w:fill="auto"/>
                  <w:vAlign w:val="center"/>
                </w:tcPr>
                <w:p w14:paraId="5F047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szCs w:val="21"/>
                    </w:rPr>
                    <w:t>AWA</w:t>
                  </w:r>
                  <w:r>
                    <w:rPr>
                      <w:rFonts w:hint="eastAsia"/>
                      <w:szCs w:val="21"/>
                    </w:rPr>
                    <w:t>5688</w:t>
                  </w:r>
                  <w:r>
                    <w:rPr>
                      <w:szCs w:val="21"/>
                    </w:rPr>
                    <w:t>多功能声级计</w:t>
                  </w:r>
                </w:p>
              </w:tc>
              <w:tc>
                <w:tcPr>
                  <w:tcW w:w="1717" w:type="dxa"/>
                  <w:shd w:val="clear" w:color="auto" w:fill="auto"/>
                  <w:vAlign w:val="center"/>
                </w:tcPr>
                <w:p w14:paraId="75BAB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XSJS/YQ-24-14</w:t>
                  </w:r>
                </w:p>
              </w:tc>
              <w:tc>
                <w:tcPr>
                  <w:tcW w:w="2108" w:type="dxa"/>
                  <w:vAlign w:val="center"/>
                </w:tcPr>
                <w:p w14:paraId="5BC61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浙江省计量</w:t>
                  </w:r>
                </w:p>
                <w:p w14:paraId="41835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科学研究院</w:t>
                  </w:r>
                </w:p>
              </w:tc>
            </w:tr>
            <w:tr w14:paraId="03B0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0D9C1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3</w:t>
                  </w:r>
                </w:p>
              </w:tc>
              <w:tc>
                <w:tcPr>
                  <w:tcW w:w="1386" w:type="dxa"/>
                  <w:vMerge w:val="continue"/>
                  <w:vAlign w:val="center"/>
                </w:tcPr>
                <w:p w14:paraId="0B2C2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p>
              </w:tc>
              <w:tc>
                <w:tcPr>
                  <w:tcW w:w="2229" w:type="dxa"/>
                  <w:shd w:val="clear" w:color="auto" w:fill="auto"/>
                  <w:vAlign w:val="center"/>
                </w:tcPr>
                <w:p w14:paraId="19972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AWA6022A型声校准器</w:t>
                  </w:r>
                </w:p>
              </w:tc>
              <w:tc>
                <w:tcPr>
                  <w:tcW w:w="1717" w:type="dxa"/>
                  <w:shd w:val="clear" w:color="auto" w:fill="auto"/>
                  <w:vAlign w:val="center"/>
                </w:tcPr>
                <w:p w14:paraId="01E55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XSJS/YQ-34-8</w:t>
                  </w:r>
                </w:p>
              </w:tc>
              <w:tc>
                <w:tcPr>
                  <w:tcW w:w="2108" w:type="dxa"/>
                  <w:vAlign w:val="center"/>
                </w:tcPr>
                <w:p w14:paraId="69F18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广电计量检</w:t>
                  </w:r>
                </w:p>
                <w:p w14:paraId="253D0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测集团股份</w:t>
                  </w:r>
                </w:p>
                <w:p w14:paraId="53269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r>
                    <w:rPr>
                      <w:rFonts w:hint="eastAsia"/>
                      <w:szCs w:val="21"/>
                    </w:rPr>
                    <w:t>有限公司</w:t>
                  </w:r>
                </w:p>
              </w:tc>
            </w:tr>
            <w:tr w14:paraId="6D3F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53891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val="en-US" w:eastAsia="zh-CN"/>
                    </w:rPr>
                  </w:pPr>
                  <w:r>
                    <w:rPr>
                      <w:rFonts w:hint="eastAsia"/>
                      <w:szCs w:val="21"/>
                      <w:lang w:val="en-US" w:eastAsia="zh-CN"/>
                    </w:rPr>
                    <w:t>4</w:t>
                  </w:r>
                </w:p>
              </w:tc>
              <w:tc>
                <w:tcPr>
                  <w:tcW w:w="1386" w:type="dxa"/>
                  <w:vMerge w:val="restart"/>
                  <w:vAlign w:val="center"/>
                </w:tcPr>
                <w:p w14:paraId="221CE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val="en-US" w:eastAsia="zh-CN"/>
                    </w:rPr>
                  </w:pPr>
                  <w:r>
                    <w:rPr>
                      <w:rFonts w:hint="eastAsia"/>
                      <w:szCs w:val="21"/>
                    </w:rPr>
                    <w:t>噪声</w:t>
                  </w:r>
                  <w:r>
                    <w:rPr>
                      <w:rFonts w:hint="eastAsia"/>
                      <w:szCs w:val="21"/>
                    </w:rPr>
                    <w:br w:type="textWrapping"/>
                  </w:r>
                  <w:r>
                    <w:rPr>
                      <w:rFonts w:hint="eastAsia"/>
                      <w:szCs w:val="21"/>
                      <w:lang w:eastAsia="zh-CN"/>
                    </w:rPr>
                    <w:t>（</w:t>
                  </w:r>
                  <w:r>
                    <w:rPr>
                      <w:rFonts w:hint="eastAsia"/>
                      <w:szCs w:val="21"/>
                      <w:lang w:val="en-US" w:eastAsia="zh-CN"/>
                    </w:rPr>
                    <w:t>2025.4.9</w:t>
                  </w:r>
                  <w:r>
                    <w:rPr>
                      <w:rFonts w:hint="eastAsia"/>
                      <w:szCs w:val="21"/>
                      <w:lang w:eastAsia="zh-CN"/>
                    </w:rPr>
                    <w:t>）</w:t>
                  </w:r>
                </w:p>
              </w:tc>
              <w:tc>
                <w:tcPr>
                  <w:tcW w:w="2229" w:type="dxa"/>
                  <w:shd w:val="clear" w:color="auto" w:fill="auto"/>
                  <w:vAlign w:val="center"/>
                </w:tcPr>
                <w:p w14:paraId="714B0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szCs w:val="21"/>
                      <w:lang w:val="en-US" w:eastAsia="zh-CN"/>
                    </w:rPr>
                  </w:pPr>
                  <w:r>
                    <w:rPr>
                      <w:rFonts w:hint="eastAsia"/>
                      <w:szCs w:val="21"/>
                      <w:lang w:val="en-US" w:eastAsia="zh-CN"/>
                    </w:rPr>
                    <w:t>t410-2型风速仪</w:t>
                  </w:r>
                </w:p>
              </w:tc>
              <w:tc>
                <w:tcPr>
                  <w:tcW w:w="1717" w:type="dxa"/>
                  <w:shd w:val="clear" w:color="auto" w:fill="auto"/>
                  <w:vAlign w:val="center"/>
                </w:tcPr>
                <w:p w14:paraId="1B0F1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eastAsia="zh-CN"/>
                    </w:rPr>
                  </w:pPr>
                  <w:r>
                    <w:rPr>
                      <w:rFonts w:hint="eastAsia"/>
                      <w:szCs w:val="21"/>
                    </w:rPr>
                    <w:t>XSJS/YQ-36-</w:t>
                  </w:r>
                  <w:r>
                    <w:rPr>
                      <w:rFonts w:hint="eastAsia"/>
                      <w:szCs w:val="21"/>
                      <w:lang w:val="en-US" w:eastAsia="zh-CN"/>
                    </w:rPr>
                    <w:t>1</w:t>
                  </w:r>
                </w:p>
              </w:tc>
              <w:tc>
                <w:tcPr>
                  <w:tcW w:w="2108" w:type="dxa"/>
                  <w:vAlign w:val="center"/>
                </w:tcPr>
                <w:p w14:paraId="6B5CE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val="en-US" w:eastAsia="zh-CN"/>
                    </w:rPr>
                  </w:pPr>
                  <w:r>
                    <w:rPr>
                      <w:rFonts w:hint="eastAsia"/>
                      <w:szCs w:val="21"/>
                      <w:lang w:val="en-US" w:eastAsia="zh-CN"/>
                    </w:rPr>
                    <w:t>/</w:t>
                  </w:r>
                </w:p>
              </w:tc>
            </w:tr>
            <w:tr w14:paraId="2674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2A1C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szCs w:val="21"/>
                      <w:lang w:val="en-US" w:eastAsia="zh-CN"/>
                    </w:rPr>
                  </w:pPr>
                  <w:r>
                    <w:rPr>
                      <w:rFonts w:hint="eastAsia"/>
                      <w:szCs w:val="21"/>
                      <w:lang w:val="en-US" w:eastAsia="zh-CN"/>
                    </w:rPr>
                    <w:t>5</w:t>
                  </w:r>
                </w:p>
              </w:tc>
              <w:tc>
                <w:tcPr>
                  <w:tcW w:w="1386" w:type="dxa"/>
                  <w:vMerge w:val="continue"/>
                  <w:vAlign w:val="center"/>
                </w:tcPr>
                <w:p w14:paraId="038C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p>
              </w:tc>
              <w:tc>
                <w:tcPr>
                  <w:tcW w:w="2229" w:type="dxa"/>
                  <w:shd w:val="clear" w:color="auto" w:fill="auto"/>
                  <w:vAlign w:val="center"/>
                </w:tcPr>
                <w:p w14:paraId="01CA8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szCs w:val="21"/>
                    </w:rPr>
                  </w:pPr>
                  <w:r>
                    <w:rPr>
                      <w:szCs w:val="21"/>
                    </w:rPr>
                    <w:t>AWA</w:t>
                  </w:r>
                  <w:r>
                    <w:rPr>
                      <w:rFonts w:hint="eastAsia"/>
                      <w:szCs w:val="21"/>
                    </w:rPr>
                    <w:t>5688</w:t>
                  </w:r>
                  <w:r>
                    <w:rPr>
                      <w:szCs w:val="21"/>
                    </w:rPr>
                    <w:t>多功能声级计</w:t>
                  </w:r>
                </w:p>
              </w:tc>
              <w:tc>
                <w:tcPr>
                  <w:tcW w:w="1717" w:type="dxa"/>
                  <w:shd w:val="clear" w:color="auto" w:fill="auto"/>
                  <w:vAlign w:val="center"/>
                </w:tcPr>
                <w:p w14:paraId="02D54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eastAsia="zh-CN"/>
                    </w:rPr>
                  </w:pPr>
                  <w:r>
                    <w:rPr>
                      <w:rFonts w:hint="eastAsia"/>
                      <w:szCs w:val="21"/>
                    </w:rPr>
                    <w:t>XSJS/YQ-24-</w:t>
                  </w:r>
                  <w:r>
                    <w:rPr>
                      <w:rFonts w:hint="eastAsia"/>
                      <w:szCs w:val="21"/>
                      <w:lang w:val="en-US" w:eastAsia="zh-CN"/>
                    </w:rPr>
                    <w:t>3</w:t>
                  </w:r>
                </w:p>
              </w:tc>
              <w:tc>
                <w:tcPr>
                  <w:tcW w:w="2108" w:type="dxa"/>
                  <w:vAlign w:val="center"/>
                </w:tcPr>
                <w:p w14:paraId="5020A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szCs w:val="21"/>
                      <w:lang w:val="en-US" w:eastAsia="zh-CN"/>
                    </w:rPr>
                  </w:pPr>
                  <w:r>
                    <w:rPr>
                      <w:rFonts w:hint="eastAsia"/>
                      <w:szCs w:val="21"/>
                      <w:lang w:val="en-US" w:eastAsia="zh-CN"/>
                    </w:rPr>
                    <w:t>/</w:t>
                  </w:r>
                </w:p>
              </w:tc>
            </w:tr>
            <w:tr w14:paraId="643C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46EE4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szCs w:val="21"/>
                      <w:lang w:val="en-US" w:eastAsia="zh-CN"/>
                    </w:rPr>
                  </w:pPr>
                  <w:r>
                    <w:rPr>
                      <w:rFonts w:hint="eastAsia"/>
                      <w:szCs w:val="21"/>
                      <w:lang w:val="en-US" w:eastAsia="zh-CN"/>
                    </w:rPr>
                    <w:t>6</w:t>
                  </w:r>
                </w:p>
              </w:tc>
              <w:tc>
                <w:tcPr>
                  <w:tcW w:w="1386" w:type="dxa"/>
                  <w:vMerge w:val="continue"/>
                  <w:vAlign w:val="center"/>
                </w:tcPr>
                <w:p w14:paraId="25766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szCs w:val="21"/>
                    </w:rPr>
                  </w:pPr>
                </w:p>
              </w:tc>
              <w:tc>
                <w:tcPr>
                  <w:tcW w:w="2229" w:type="dxa"/>
                  <w:shd w:val="clear" w:color="auto" w:fill="auto"/>
                  <w:vAlign w:val="center"/>
                </w:tcPr>
                <w:p w14:paraId="08145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szCs w:val="21"/>
                    </w:rPr>
                  </w:pPr>
                  <w:r>
                    <w:rPr>
                      <w:rFonts w:hint="eastAsia"/>
                      <w:szCs w:val="21"/>
                    </w:rPr>
                    <w:t>AWA602</w:t>
                  </w:r>
                  <w:r>
                    <w:rPr>
                      <w:rFonts w:hint="eastAsia"/>
                      <w:szCs w:val="21"/>
                      <w:lang w:val="en-US" w:eastAsia="zh-CN"/>
                    </w:rPr>
                    <w:t>1B</w:t>
                  </w:r>
                  <w:r>
                    <w:rPr>
                      <w:rFonts w:hint="eastAsia"/>
                      <w:szCs w:val="21"/>
                    </w:rPr>
                    <w:t>型声校准器</w:t>
                  </w:r>
                </w:p>
              </w:tc>
              <w:tc>
                <w:tcPr>
                  <w:tcW w:w="1717" w:type="dxa"/>
                  <w:shd w:val="clear" w:color="auto" w:fill="auto"/>
                  <w:vAlign w:val="center"/>
                </w:tcPr>
                <w:p w14:paraId="1CD0A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eastAsia="zh-CN"/>
                    </w:rPr>
                  </w:pPr>
                  <w:r>
                    <w:rPr>
                      <w:rFonts w:hint="eastAsia"/>
                      <w:szCs w:val="21"/>
                    </w:rPr>
                    <w:t>XSJS/YQ-34-</w:t>
                  </w:r>
                  <w:r>
                    <w:rPr>
                      <w:rFonts w:hint="eastAsia"/>
                      <w:szCs w:val="21"/>
                      <w:lang w:val="en-US" w:eastAsia="zh-CN"/>
                    </w:rPr>
                    <w:t>1</w:t>
                  </w:r>
                </w:p>
              </w:tc>
              <w:tc>
                <w:tcPr>
                  <w:tcW w:w="2108" w:type="dxa"/>
                  <w:vAlign w:val="center"/>
                </w:tcPr>
                <w:p w14:paraId="74861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szCs w:val="21"/>
                      <w:lang w:val="en-US" w:eastAsia="zh-CN"/>
                    </w:rPr>
                  </w:pPr>
                  <w:r>
                    <w:rPr>
                      <w:rFonts w:hint="eastAsia"/>
                      <w:szCs w:val="21"/>
                      <w:lang w:val="en-US" w:eastAsia="zh-CN"/>
                    </w:rPr>
                    <w:t>/</w:t>
                  </w:r>
                </w:p>
              </w:tc>
            </w:tr>
          </w:tbl>
          <w:p w14:paraId="3599B02F">
            <w:pPr>
              <w:widowControl/>
              <w:jc w:val="center"/>
              <w:rPr>
                <w:rFonts w:ascii="宋体" w:hAnsi="宋体" w:cs="宋体"/>
                <w:b/>
                <w:bCs/>
                <w:color w:val="000000"/>
                <w:kern w:val="0"/>
                <w:sz w:val="24"/>
              </w:rPr>
            </w:pPr>
          </w:p>
          <w:p w14:paraId="490550C7">
            <w:pPr>
              <w:widowControl/>
              <w:spacing w:line="360" w:lineRule="auto"/>
              <w:ind w:firstLine="480" w:firstLineChars="200"/>
              <w:jc w:val="left"/>
              <w:rPr>
                <w:rFonts w:hint="eastAsia" w:eastAsia="宋体"/>
                <w:color w:val="000000"/>
                <w:kern w:val="0"/>
                <w:sz w:val="24"/>
                <w:lang w:eastAsia="zh-CN"/>
              </w:rPr>
            </w:pPr>
            <w:r>
              <w:rPr>
                <w:rFonts w:hint="eastAsia"/>
                <w:color w:val="000000"/>
                <w:kern w:val="0"/>
                <w:sz w:val="24"/>
              </w:rPr>
              <w:t>监测条件：</w:t>
            </w:r>
            <w:r>
              <w:rPr>
                <w:color w:val="000000"/>
                <w:kern w:val="0"/>
                <w:sz w:val="24"/>
              </w:rPr>
              <w:t>2024年9月19日，天气晴，风速4.1m/s</w:t>
            </w:r>
            <w:r>
              <w:rPr>
                <w:rFonts w:hint="eastAsia"/>
                <w:color w:val="000000"/>
                <w:kern w:val="0"/>
                <w:sz w:val="24"/>
                <w:lang w:eastAsia="zh-CN"/>
              </w:rPr>
              <w:t>；</w:t>
            </w:r>
          </w:p>
          <w:p w14:paraId="1C6B6D77">
            <w:pPr>
              <w:widowControl/>
              <w:spacing w:line="360" w:lineRule="auto"/>
              <w:ind w:firstLine="480" w:firstLineChars="200"/>
              <w:jc w:val="left"/>
              <w:rPr>
                <w:rFonts w:hint="eastAsia" w:eastAsia="宋体"/>
                <w:color w:val="000000"/>
                <w:kern w:val="0"/>
                <w:sz w:val="24"/>
                <w:lang w:val="en-US" w:eastAsia="zh-CN"/>
              </w:rPr>
            </w:pPr>
            <w:r>
              <w:rPr>
                <w:rFonts w:hint="eastAsia"/>
                <w:color w:val="000000"/>
                <w:kern w:val="0"/>
                <w:sz w:val="24"/>
                <w:lang w:val="en-US" w:eastAsia="zh-CN"/>
              </w:rPr>
              <w:t xml:space="preserve">          2025年4</w:t>
            </w:r>
            <w:r>
              <w:rPr>
                <w:color w:val="000000"/>
                <w:kern w:val="0"/>
                <w:sz w:val="24"/>
              </w:rPr>
              <w:t>月</w:t>
            </w:r>
            <w:r>
              <w:rPr>
                <w:rFonts w:hint="eastAsia"/>
                <w:color w:val="000000"/>
                <w:kern w:val="0"/>
                <w:sz w:val="24"/>
                <w:lang w:val="en-US" w:eastAsia="zh-CN"/>
              </w:rPr>
              <w:t>5</w:t>
            </w:r>
            <w:r>
              <w:rPr>
                <w:color w:val="000000"/>
                <w:kern w:val="0"/>
                <w:sz w:val="24"/>
              </w:rPr>
              <w:t>日，天气</w:t>
            </w:r>
            <w:r>
              <w:rPr>
                <w:rFonts w:hint="eastAsia"/>
                <w:color w:val="000000"/>
                <w:kern w:val="0"/>
                <w:sz w:val="24"/>
                <w:lang w:eastAsia="zh-CN"/>
              </w:rPr>
              <w:t>阴</w:t>
            </w:r>
            <w:r>
              <w:rPr>
                <w:color w:val="000000"/>
                <w:kern w:val="0"/>
                <w:sz w:val="24"/>
              </w:rPr>
              <w:t>，风速</w:t>
            </w:r>
            <w:r>
              <w:rPr>
                <w:rFonts w:hint="eastAsia"/>
                <w:color w:val="000000"/>
                <w:kern w:val="0"/>
                <w:sz w:val="24"/>
                <w:lang w:val="en-US" w:eastAsia="zh-CN"/>
              </w:rPr>
              <w:t>2</w:t>
            </w:r>
            <w:r>
              <w:rPr>
                <w:color w:val="000000"/>
                <w:kern w:val="0"/>
                <w:sz w:val="24"/>
              </w:rPr>
              <w:t>.1m/s</w:t>
            </w:r>
            <w:r>
              <w:rPr>
                <w:rFonts w:hint="eastAsia"/>
                <w:color w:val="000000"/>
                <w:kern w:val="0"/>
                <w:sz w:val="24"/>
                <w:lang w:eastAsia="zh-CN"/>
              </w:rPr>
              <w:t>。</w:t>
            </w:r>
          </w:p>
          <w:p w14:paraId="3AAA01B5">
            <w:pPr>
              <w:widowControl/>
              <w:spacing w:line="360" w:lineRule="auto"/>
              <w:jc w:val="left"/>
              <w:rPr>
                <w:b/>
                <w:bCs/>
                <w:color w:val="000000"/>
                <w:kern w:val="0"/>
                <w:sz w:val="24"/>
              </w:rPr>
            </w:pPr>
            <w:r>
              <w:rPr>
                <w:rFonts w:hint="eastAsia"/>
                <w:b/>
                <w:bCs/>
                <w:color w:val="000000"/>
                <w:kern w:val="0"/>
                <w:sz w:val="24"/>
              </w:rPr>
              <w:t>4.5</w:t>
            </w:r>
            <w:r>
              <w:rPr>
                <w:b/>
                <w:bCs/>
                <w:color w:val="000000"/>
                <w:kern w:val="0"/>
                <w:sz w:val="24"/>
              </w:rPr>
              <w:t xml:space="preserve"> 监测结果</w:t>
            </w:r>
          </w:p>
          <w:p w14:paraId="667EBE56">
            <w:pPr>
              <w:pStyle w:val="14"/>
              <w:ind w:firstLine="480" w:firstLineChars="200"/>
              <w:rPr>
                <w:color w:val="000000"/>
                <w:kern w:val="0"/>
                <w:sz w:val="24"/>
              </w:rPr>
            </w:pPr>
            <w:r>
              <w:rPr>
                <w:color w:val="000000"/>
                <w:kern w:val="0"/>
                <w:sz w:val="24"/>
              </w:rPr>
              <w:t>监测结果见表3-</w:t>
            </w:r>
            <w:r>
              <w:rPr>
                <w:rFonts w:hint="eastAsia"/>
                <w:color w:val="000000"/>
                <w:kern w:val="0"/>
                <w:sz w:val="24"/>
              </w:rPr>
              <w:t>6</w:t>
            </w:r>
            <w:r>
              <w:rPr>
                <w:color w:val="000000"/>
                <w:kern w:val="0"/>
                <w:sz w:val="24"/>
              </w:rPr>
              <w:t>。</w:t>
            </w:r>
          </w:p>
          <w:p w14:paraId="7FE5737C">
            <w:pPr>
              <w:widowControl/>
              <w:jc w:val="center"/>
              <w:rPr>
                <w:highlight w:val="none"/>
              </w:rPr>
            </w:pPr>
            <w:r>
              <w:rPr>
                <w:b/>
                <w:bCs/>
                <w:color w:val="000000"/>
                <w:kern w:val="0"/>
                <w:sz w:val="24"/>
                <w:highlight w:val="none"/>
              </w:rPr>
              <w:t>表3-</w:t>
            </w:r>
            <w:r>
              <w:rPr>
                <w:rFonts w:hint="eastAsia"/>
                <w:b/>
                <w:bCs/>
                <w:color w:val="000000"/>
                <w:kern w:val="0"/>
                <w:sz w:val="24"/>
                <w:highlight w:val="none"/>
              </w:rPr>
              <w:t>6</w:t>
            </w:r>
            <w:r>
              <w:rPr>
                <w:b/>
                <w:bCs/>
                <w:color w:val="000000"/>
                <w:kern w:val="0"/>
                <w:sz w:val="24"/>
                <w:highlight w:val="none"/>
              </w:rPr>
              <w:t xml:space="preserve">  </w:t>
            </w:r>
            <w:r>
              <w:rPr>
                <w:color w:val="000000"/>
                <w:kern w:val="0"/>
                <w:sz w:val="24"/>
                <w:highlight w:val="none"/>
              </w:rPr>
              <w:t xml:space="preserve"> </w:t>
            </w:r>
            <w:r>
              <w:rPr>
                <w:b/>
                <w:bCs/>
                <w:color w:val="000000"/>
                <w:kern w:val="0"/>
                <w:sz w:val="24"/>
                <w:highlight w:val="none"/>
              </w:rPr>
              <w:t>声环境现状监测结果</w:t>
            </w:r>
          </w:p>
          <w:tbl>
            <w:tblPr>
              <w:tblStyle w:val="22"/>
              <w:tblW w:w="8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116"/>
              <w:gridCol w:w="1725"/>
              <w:gridCol w:w="1779"/>
            </w:tblGrid>
            <w:tr w14:paraId="6F66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restart"/>
                  <w:shd w:val="clear" w:color="auto" w:fill="auto"/>
                  <w:vAlign w:val="center"/>
                </w:tcPr>
                <w:p w14:paraId="7AEBCAF3">
                  <w:pPr>
                    <w:keepNext w:val="0"/>
                    <w:keepLines w:val="0"/>
                    <w:widowControl/>
                    <w:suppressLineNumbers w:val="0"/>
                    <w:spacing w:before="0" w:beforeAutospacing="0" w:after="0" w:afterAutospacing="0"/>
                    <w:ind w:left="0" w:right="0"/>
                    <w:jc w:val="center"/>
                    <w:rPr>
                      <w:color w:val="000000"/>
                      <w:kern w:val="0"/>
                      <w:szCs w:val="21"/>
                    </w:rPr>
                  </w:pPr>
                  <w:r>
                    <w:rPr>
                      <w:color w:val="000000"/>
                      <w:kern w:val="0"/>
                      <w:szCs w:val="21"/>
                    </w:rPr>
                    <w:t>监测点号</w:t>
                  </w:r>
                </w:p>
              </w:tc>
              <w:tc>
                <w:tcPr>
                  <w:tcW w:w="3116" w:type="dxa"/>
                  <w:vMerge w:val="restart"/>
                  <w:shd w:val="clear" w:color="auto" w:fill="auto"/>
                  <w:vAlign w:val="center"/>
                </w:tcPr>
                <w:p w14:paraId="0D976E5C">
                  <w:pPr>
                    <w:keepNext w:val="0"/>
                    <w:keepLines w:val="0"/>
                    <w:widowControl/>
                    <w:suppressLineNumbers w:val="0"/>
                    <w:spacing w:before="0" w:beforeAutospacing="0" w:after="0" w:afterAutospacing="0"/>
                    <w:ind w:left="0" w:right="0"/>
                    <w:jc w:val="center"/>
                    <w:rPr>
                      <w:color w:val="000000"/>
                      <w:kern w:val="0"/>
                      <w:szCs w:val="21"/>
                    </w:rPr>
                  </w:pPr>
                  <w:r>
                    <w:rPr>
                      <w:color w:val="000000"/>
                      <w:kern w:val="0"/>
                      <w:szCs w:val="21"/>
                    </w:rPr>
                    <w:t>测点描述</w:t>
                  </w:r>
                </w:p>
              </w:tc>
              <w:tc>
                <w:tcPr>
                  <w:tcW w:w="3504" w:type="dxa"/>
                  <w:gridSpan w:val="2"/>
                  <w:vAlign w:val="center"/>
                </w:tcPr>
                <w:p w14:paraId="059733A3">
                  <w:pPr>
                    <w:keepNext w:val="0"/>
                    <w:keepLines w:val="0"/>
                    <w:widowControl/>
                    <w:suppressLineNumbers w:val="0"/>
                    <w:spacing w:before="0" w:beforeAutospacing="0" w:after="0" w:afterAutospacing="0"/>
                    <w:ind w:left="0" w:right="0"/>
                    <w:jc w:val="center"/>
                    <w:rPr>
                      <w:szCs w:val="21"/>
                    </w:rPr>
                  </w:pPr>
                  <w:r>
                    <w:rPr>
                      <w:color w:val="000000"/>
                      <w:kern w:val="0"/>
                      <w:szCs w:val="21"/>
                    </w:rPr>
                    <w:t>监测数值（dB（A））</w:t>
                  </w:r>
                </w:p>
              </w:tc>
            </w:tr>
            <w:tr w14:paraId="6A63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continue"/>
                </w:tcPr>
                <w:p w14:paraId="7A91012F">
                  <w:pPr>
                    <w:keepNext w:val="0"/>
                    <w:keepLines w:val="0"/>
                    <w:suppressLineNumbers w:val="0"/>
                    <w:spacing w:before="0" w:beforeAutospacing="0" w:after="0" w:afterAutospacing="0"/>
                    <w:ind w:left="0" w:right="0"/>
                    <w:jc w:val="center"/>
                    <w:rPr>
                      <w:szCs w:val="21"/>
                    </w:rPr>
                  </w:pPr>
                </w:p>
              </w:tc>
              <w:tc>
                <w:tcPr>
                  <w:tcW w:w="3116" w:type="dxa"/>
                  <w:vMerge w:val="continue"/>
                </w:tcPr>
                <w:p w14:paraId="48B21E24">
                  <w:pPr>
                    <w:keepNext w:val="0"/>
                    <w:keepLines w:val="0"/>
                    <w:suppressLineNumbers w:val="0"/>
                    <w:spacing w:before="0" w:beforeAutospacing="0" w:after="0" w:afterAutospacing="0"/>
                    <w:ind w:left="0" w:right="0"/>
                    <w:jc w:val="center"/>
                    <w:rPr>
                      <w:szCs w:val="21"/>
                    </w:rPr>
                  </w:pPr>
                </w:p>
              </w:tc>
              <w:tc>
                <w:tcPr>
                  <w:tcW w:w="1725" w:type="dxa"/>
                  <w:vAlign w:val="center"/>
                </w:tcPr>
                <w:p w14:paraId="0B9A0F7C">
                  <w:pPr>
                    <w:keepNext w:val="0"/>
                    <w:keepLines w:val="0"/>
                    <w:widowControl/>
                    <w:suppressLineNumbers w:val="0"/>
                    <w:spacing w:before="0" w:beforeAutospacing="0" w:after="0" w:afterAutospacing="0"/>
                    <w:ind w:left="0" w:right="0"/>
                    <w:jc w:val="center"/>
                    <w:rPr>
                      <w:szCs w:val="21"/>
                    </w:rPr>
                  </w:pPr>
                  <w:r>
                    <w:rPr>
                      <w:color w:val="000000"/>
                      <w:kern w:val="0"/>
                      <w:szCs w:val="21"/>
                    </w:rPr>
                    <w:t>昼间</w:t>
                  </w:r>
                </w:p>
              </w:tc>
              <w:tc>
                <w:tcPr>
                  <w:tcW w:w="1779" w:type="dxa"/>
                  <w:vAlign w:val="center"/>
                </w:tcPr>
                <w:p w14:paraId="1AF7EF3D">
                  <w:pPr>
                    <w:keepNext w:val="0"/>
                    <w:keepLines w:val="0"/>
                    <w:widowControl/>
                    <w:suppressLineNumbers w:val="0"/>
                    <w:spacing w:before="0" w:beforeAutospacing="0" w:after="0" w:afterAutospacing="0"/>
                    <w:ind w:left="0" w:right="0"/>
                    <w:jc w:val="center"/>
                    <w:rPr>
                      <w:szCs w:val="21"/>
                    </w:rPr>
                  </w:pPr>
                  <w:r>
                    <w:rPr>
                      <w:color w:val="000000"/>
                      <w:kern w:val="0"/>
                      <w:szCs w:val="21"/>
                    </w:rPr>
                    <w:t>夜间</w:t>
                  </w:r>
                </w:p>
              </w:tc>
            </w:tr>
            <w:tr w14:paraId="5673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05C617F4">
                  <w:pPr>
                    <w:keepNext w:val="0"/>
                    <w:keepLines w:val="0"/>
                    <w:suppressLineNumbers w:val="0"/>
                    <w:spacing w:before="0" w:beforeAutospacing="0" w:after="0" w:afterAutospacing="0"/>
                    <w:ind w:left="0" w:right="0"/>
                    <w:jc w:val="center"/>
                    <w:rPr>
                      <w:color w:val="000000"/>
                      <w:kern w:val="0"/>
                      <w:szCs w:val="21"/>
                    </w:rPr>
                  </w:pPr>
                  <w:r>
                    <w:rPr>
                      <w:szCs w:val="21"/>
                    </w:rPr>
                    <w:t>1</w:t>
                  </w:r>
                  <w:r>
                    <w:rPr>
                      <w:szCs w:val="21"/>
                      <w:vertAlign w:val="superscript"/>
                    </w:rPr>
                    <w:t>#</w:t>
                  </w:r>
                </w:p>
              </w:tc>
              <w:tc>
                <w:tcPr>
                  <w:tcW w:w="3116" w:type="dxa"/>
                  <w:shd w:val="clear" w:color="auto" w:fill="auto"/>
                  <w:vAlign w:val="center"/>
                </w:tcPr>
                <w:p w14:paraId="78D3772E">
                  <w:pPr>
                    <w:keepNext w:val="0"/>
                    <w:keepLines w:val="0"/>
                    <w:suppressLineNumbers w:val="0"/>
                    <w:spacing w:before="0" w:beforeAutospacing="0" w:after="0" w:afterAutospacing="0"/>
                    <w:ind w:left="0" w:right="0"/>
                    <w:jc w:val="center"/>
                    <w:rPr>
                      <w:color w:val="000000"/>
                      <w:kern w:val="0"/>
                      <w:szCs w:val="21"/>
                    </w:rPr>
                  </w:pPr>
                  <w:r>
                    <w:rPr>
                      <w:kern w:val="0"/>
                      <w:szCs w:val="21"/>
                    </w:rPr>
                    <w:t>220</w:t>
                  </w:r>
                  <w:r>
                    <w:rPr>
                      <w:rFonts w:hint="eastAsia"/>
                      <w:kern w:val="0"/>
                      <w:szCs w:val="21"/>
                    </w:rPr>
                    <w:t>kV</w:t>
                  </w:r>
                  <w:r>
                    <w:rPr>
                      <w:kern w:val="0"/>
                      <w:szCs w:val="21"/>
                    </w:rPr>
                    <w:t>输电线路起始点</w:t>
                  </w:r>
                  <w:r>
                    <w:rPr>
                      <w:rFonts w:hint="eastAsia"/>
                      <w:kern w:val="0"/>
                      <w:szCs w:val="21"/>
                    </w:rPr>
                    <w:t>1#</w:t>
                  </w:r>
                </w:p>
              </w:tc>
              <w:tc>
                <w:tcPr>
                  <w:tcW w:w="1725" w:type="dxa"/>
                  <w:shd w:val="clear" w:color="auto" w:fill="auto"/>
                  <w:vAlign w:val="center"/>
                </w:tcPr>
                <w:p w14:paraId="5A4C7AAD">
                  <w:pPr>
                    <w:keepNext w:val="0"/>
                    <w:keepLines w:val="0"/>
                    <w:widowControl/>
                    <w:suppressLineNumbers w:val="0"/>
                    <w:spacing w:before="0" w:beforeAutospacing="0" w:after="0" w:afterAutospacing="0"/>
                    <w:ind w:left="0" w:right="0"/>
                    <w:jc w:val="center"/>
                    <w:textAlignment w:val="center"/>
                    <w:rPr>
                      <w:color w:val="000000"/>
                      <w:kern w:val="0"/>
                      <w:szCs w:val="21"/>
                    </w:rPr>
                  </w:pPr>
                  <w:r>
                    <w:rPr>
                      <w:rFonts w:hint="eastAsia"/>
                      <w:kern w:val="0"/>
                      <w:szCs w:val="21"/>
                    </w:rPr>
                    <w:t>39</w:t>
                  </w:r>
                </w:p>
              </w:tc>
              <w:tc>
                <w:tcPr>
                  <w:tcW w:w="1779" w:type="dxa"/>
                  <w:shd w:val="clear" w:color="auto" w:fill="auto"/>
                  <w:vAlign w:val="center"/>
                </w:tcPr>
                <w:p w14:paraId="40019321">
                  <w:pPr>
                    <w:keepNext w:val="0"/>
                    <w:keepLines w:val="0"/>
                    <w:widowControl/>
                    <w:suppressLineNumbers w:val="0"/>
                    <w:spacing w:before="0" w:beforeAutospacing="0" w:after="0" w:afterAutospacing="0"/>
                    <w:ind w:left="0" w:right="0"/>
                    <w:jc w:val="center"/>
                    <w:textAlignment w:val="center"/>
                    <w:rPr>
                      <w:color w:val="000000"/>
                      <w:kern w:val="0"/>
                      <w:szCs w:val="21"/>
                    </w:rPr>
                  </w:pPr>
                  <w:r>
                    <w:rPr>
                      <w:rFonts w:hint="eastAsia"/>
                      <w:kern w:val="0"/>
                      <w:szCs w:val="21"/>
                    </w:rPr>
                    <w:t>38</w:t>
                  </w:r>
                </w:p>
              </w:tc>
            </w:tr>
            <w:tr w14:paraId="0A61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1D3FD31B">
                  <w:pPr>
                    <w:keepNext w:val="0"/>
                    <w:keepLines w:val="0"/>
                    <w:suppressLineNumbers w:val="0"/>
                    <w:spacing w:before="0" w:beforeAutospacing="0" w:after="0" w:afterAutospacing="0"/>
                    <w:ind w:left="0" w:right="0"/>
                    <w:jc w:val="center"/>
                    <w:rPr>
                      <w:color w:val="000000"/>
                      <w:kern w:val="0"/>
                      <w:szCs w:val="21"/>
                    </w:rPr>
                  </w:pPr>
                  <w:r>
                    <w:rPr>
                      <w:szCs w:val="21"/>
                    </w:rPr>
                    <w:t>2</w:t>
                  </w:r>
                  <w:r>
                    <w:rPr>
                      <w:szCs w:val="21"/>
                      <w:vertAlign w:val="superscript"/>
                    </w:rPr>
                    <w:t>#</w:t>
                  </w:r>
                </w:p>
              </w:tc>
              <w:tc>
                <w:tcPr>
                  <w:tcW w:w="3116" w:type="dxa"/>
                  <w:shd w:val="clear" w:color="auto" w:fill="auto"/>
                  <w:vAlign w:val="center"/>
                </w:tcPr>
                <w:p w14:paraId="7F66BBAF">
                  <w:pPr>
                    <w:keepNext w:val="0"/>
                    <w:keepLines w:val="0"/>
                    <w:suppressLineNumbers w:val="0"/>
                    <w:spacing w:before="0" w:beforeAutospacing="0" w:after="0" w:afterAutospacing="0"/>
                    <w:ind w:left="0" w:right="0"/>
                    <w:jc w:val="center"/>
                    <w:rPr>
                      <w:color w:val="000000"/>
                      <w:kern w:val="0"/>
                      <w:szCs w:val="21"/>
                    </w:rPr>
                  </w:pPr>
                  <w:r>
                    <w:rPr>
                      <w:kern w:val="0"/>
                      <w:szCs w:val="21"/>
                    </w:rPr>
                    <w:t>220</w:t>
                  </w:r>
                  <w:r>
                    <w:rPr>
                      <w:rFonts w:hint="eastAsia"/>
                      <w:kern w:val="0"/>
                      <w:szCs w:val="21"/>
                    </w:rPr>
                    <w:t>kV</w:t>
                  </w:r>
                  <w:r>
                    <w:rPr>
                      <w:kern w:val="0"/>
                      <w:szCs w:val="21"/>
                    </w:rPr>
                    <w:t>输电线路中间点</w:t>
                  </w:r>
                  <w:r>
                    <w:rPr>
                      <w:rFonts w:hint="eastAsia"/>
                      <w:kern w:val="0"/>
                      <w:szCs w:val="21"/>
                    </w:rPr>
                    <w:t>2#</w:t>
                  </w:r>
                </w:p>
              </w:tc>
              <w:tc>
                <w:tcPr>
                  <w:tcW w:w="1725" w:type="dxa"/>
                  <w:shd w:val="clear" w:color="auto" w:fill="auto"/>
                  <w:vAlign w:val="center"/>
                </w:tcPr>
                <w:p w14:paraId="0F903D75">
                  <w:pPr>
                    <w:keepNext w:val="0"/>
                    <w:keepLines w:val="0"/>
                    <w:widowControl/>
                    <w:suppressLineNumbers w:val="0"/>
                    <w:spacing w:before="0" w:beforeAutospacing="0" w:after="0" w:afterAutospacing="0"/>
                    <w:ind w:left="0" w:right="0"/>
                    <w:jc w:val="center"/>
                    <w:textAlignment w:val="center"/>
                    <w:rPr>
                      <w:color w:val="000000"/>
                      <w:kern w:val="0"/>
                      <w:szCs w:val="21"/>
                    </w:rPr>
                  </w:pPr>
                  <w:r>
                    <w:rPr>
                      <w:rFonts w:hint="eastAsia"/>
                      <w:kern w:val="0"/>
                      <w:szCs w:val="21"/>
                    </w:rPr>
                    <w:t>42</w:t>
                  </w:r>
                </w:p>
              </w:tc>
              <w:tc>
                <w:tcPr>
                  <w:tcW w:w="1779" w:type="dxa"/>
                  <w:shd w:val="clear" w:color="auto" w:fill="auto"/>
                  <w:vAlign w:val="center"/>
                </w:tcPr>
                <w:p w14:paraId="220CC486">
                  <w:pPr>
                    <w:keepNext w:val="0"/>
                    <w:keepLines w:val="0"/>
                    <w:widowControl/>
                    <w:suppressLineNumbers w:val="0"/>
                    <w:spacing w:before="0" w:beforeAutospacing="0" w:after="0" w:afterAutospacing="0"/>
                    <w:ind w:left="0" w:right="0"/>
                    <w:jc w:val="center"/>
                    <w:textAlignment w:val="center"/>
                    <w:rPr>
                      <w:color w:val="000000"/>
                      <w:kern w:val="0"/>
                      <w:szCs w:val="21"/>
                    </w:rPr>
                  </w:pPr>
                  <w:r>
                    <w:rPr>
                      <w:rFonts w:hint="eastAsia"/>
                      <w:kern w:val="0"/>
                      <w:szCs w:val="21"/>
                    </w:rPr>
                    <w:t>37</w:t>
                  </w:r>
                </w:p>
              </w:tc>
            </w:tr>
            <w:tr w14:paraId="251C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0B5BB03D">
                  <w:pPr>
                    <w:keepNext w:val="0"/>
                    <w:keepLines w:val="0"/>
                    <w:suppressLineNumbers w:val="0"/>
                    <w:spacing w:before="0" w:beforeAutospacing="0" w:after="0" w:afterAutospacing="0"/>
                    <w:ind w:left="0" w:right="0"/>
                    <w:jc w:val="center"/>
                    <w:rPr>
                      <w:color w:val="000000"/>
                      <w:kern w:val="0"/>
                      <w:szCs w:val="21"/>
                    </w:rPr>
                  </w:pPr>
                  <w:r>
                    <w:rPr>
                      <w:szCs w:val="21"/>
                    </w:rPr>
                    <w:t>3</w:t>
                  </w:r>
                  <w:r>
                    <w:rPr>
                      <w:szCs w:val="21"/>
                      <w:vertAlign w:val="superscript"/>
                    </w:rPr>
                    <w:t>#</w:t>
                  </w:r>
                </w:p>
              </w:tc>
              <w:tc>
                <w:tcPr>
                  <w:tcW w:w="3116" w:type="dxa"/>
                  <w:shd w:val="clear" w:color="auto" w:fill="auto"/>
                  <w:vAlign w:val="center"/>
                </w:tcPr>
                <w:p w14:paraId="4A8E970E">
                  <w:pPr>
                    <w:keepNext w:val="0"/>
                    <w:keepLines w:val="0"/>
                    <w:suppressLineNumbers w:val="0"/>
                    <w:spacing w:before="0" w:beforeAutospacing="0" w:after="0" w:afterAutospacing="0"/>
                    <w:ind w:left="0" w:right="0"/>
                    <w:jc w:val="center"/>
                    <w:rPr>
                      <w:color w:val="000000"/>
                      <w:kern w:val="0"/>
                      <w:szCs w:val="21"/>
                    </w:rPr>
                  </w:pPr>
                  <w:r>
                    <w:rPr>
                      <w:kern w:val="0"/>
                      <w:szCs w:val="21"/>
                    </w:rPr>
                    <w:t>220</w:t>
                  </w:r>
                  <w:r>
                    <w:rPr>
                      <w:rFonts w:hint="eastAsia"/>
                      <w:kern w:val="0"/>
                      <w:szCs w:val="21"/>
                    </w:rPr>
                    <w:t>kV</w:t>
                  </w:r>
                  <w:r>
                    <w:rPr>
                      <w:kern w:val="0"/>
                      <w:szCs w:val="21"/>
                    </w:rPr>
                    <w:t>库米什扩建间隔</w:t>
                  </w:r>
                  <w:r>
                    <w:rPr>
                      <w:rFonts w:hint="eastAsia"/>
                      <w:kern w:val="0"/>
                      <w:szCs w:val="21"/>
                    </w:rPr>
                    <w:t>3#</w:t>
                  </w:r>
                </w:p>
              </w:tc>
              <w:tc>
                <w:tcPr>
                  <w:tcW w:w="1725" w:type="dxa"/>
                  <w:shd w:val="clear" w:color="auto" w:fill="auto"/>
                  <w:vAlign w:val="center"/>
                </w:tcPr>
                <w:p w14:paraId="1A9F5AD2">
                  <w:pPr>
                    <w:keepNext w:val="0"/>
                    <w:keepLines w:val="0"/>
                    <w:widowControl/>
                    <w:suppressLineNumbers w:val="0"/>
                    <w:spacing w:before="0" w:beforeAutospacing="0" w:after="0" w:afterAutospacing="0"/>
                    <w:ind w:left="0" w:right="0"/>
                    <w:jc w:val="center"/>
                    <w:textAlignment w:val="center"/>
                    <w:rPr>
                      <w:color w:val="000000"/>
                      <w:kern w:val="0"/>
                      <w:szCs w:val="21"/>
                    </w:rPr>
                  </w:pPr>
                  <w:r>
                    <w:rPr>
                      <w:kern w:val="0"/>
                      <w:szCs w:val="21"/>
                    </w:rPr>
                    <w:t>38</w:t>
                  </w:r>
                </w:p>
              </w:tc>
              <w:tc>
                <w:tcPr>
                  <w:tcW w:w="1779" w:type="dxa"/>
                  <w:shd w:val="clear" w:color="auto" w:fill="auto"/>
                  <w:vAlign w:val="center"/>
                </w:tcPr>
                <w:p w14:paraId="1444C92A">
                  <w:pPr>
                    <w:keepNext w:val="0"/>
                    <w:keepLines w:val="0"/>
                    <w:widowControl/>
                    <w:suppressLineNumbers w:val="0"/>
                    <w:spacing w:before="0" w:beforeAutospacing="0" w:after="0" w:afterAutospacing="0"/>
                    <w:ind w:left="0" w:right="0"/>
                    <w:jc w:val="center"/>
                    <w:textAlignment w:val="center"/>
                    <w:rPr>
                      <w:color w:val="000000"/>
                      <w:kern w:val="0"/>
                      <w:szCs w:val="21"/>
                    </w:rPr>
                  </w:pPr>
                  <w:r>
                    <w:rPr>
                      <w:kern w:val="0"/>
                      <w:szCs w:val="21"/>
                    </w:rPr>
                    <w:t>38</w:t>
                  </w:r>
                </w:p>
              </w:tc>
            </w:tr>
            <w:tr w14:paraId="1509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14:paraId="300B9E08">
                  <w:pPr>
                    <w:keepNext w:val="0"/>
                    <w:keepLines w:val="0"/>
                    <w:suppressLineNumbers w:val="0"/>
                    <w:spacing w:before="0" w:beforeAutospacing="0" w:after="0" w:afterAutospacing="0"/>
                    <w:ind w:left="0" w:right="0"/>
                    <w:jc w:val="center"/>
                    <w:rPr>
                      <w:szCs w:val="21"/>
                    </w:rPr>
                  </w:pPr>
                  <w:r>
                    <w:rPr>
                      <w:rFonts w:hint="eastAsia"/>
                      <w:szCs w:val="21"/>
                    </w:rPr>
                    <w:t>5</w:t>
                  </w:r>
                  <w:r>
                    <w:rPr>
                      <w:szCs w:val="21"/>
                      <w:vertAlign w:val="superscript"/>
                    </w:rPr>
                    <w:t>#</w:t>
                  </w:r>
                </w:p>
              </w:tc>
              <w:tc>
                <w:tcPr>
                  <w:tcW w:w="3116" w:type="dxa"/>
                  <w:vAlign w:val="center"/>
                </w:tcPr>
                <w:p w14:paraId="78A61D33">
                  <w:pPr>
                    <w:keepNext w:val="0"/>
                    <w:keepLines w:val="0"/>
                    <w:suppressLineNumbers w:val="0"/>
                    <w:spacing w:before="0" w:beforeAutospacing="0" w:after="0" w:afterAutospacing="0"/>
                    <w:ind w:left="0" w:right="0"/>
                    <w:jc w:val="center"/>
                    <w:rPr>
                      <w:szCs w:val="21"/>
                    </w:rPr>
                  </w:pPr>
                  <w:r>
                    <w:rPr>
                      <w:rFonts w:hint="eastAsia"/>
                      <w:bCs/>
                      <w:color w:val="000000"/>
                      <w:szCs w:val="21"/>
                    </w:rPr>
                    <w:t>220kV升压站东侧</w:t>
                  </w:r>
                </w:p>
              </w:tc>
              <w:tc>
                <w:tcPr>
                  <w:tcW w:w="1725" w:type="dxa"/>
                  <w:vAlign w:val="center"/>
                </w:tcPr>
                <w:p w14:paraId="0D3C90CC">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40</w:t>
                  </w:r>
                </w:p>
              </w:tc>
              <w:tc>
                <w:tcPr>
                  <w:tcW w:w="1779" w:type="dxa"/>
                  <w:vAlign w:val="center"/>
                </w:tcPr>
                <w:p w14:paraId="3DAFF257">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36</w:t>
                  </w:r>
                </w:p>
              </w:tc>
            </w:tr>
            <w:tr w14:paraId="37B2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14:paraId="4561DA34">
                  <w:pPr>
                    <w:keepNext w:val="0"/>
                    <w:keepLines w:val="0"/>
                    <w:suppressLineNumbers w:val="0"/>
                    <w:spacing w:before="0" w:beforeAutospacing="0" w:after="0" w:afterAutospacing="0"/>
                    <w:ind w:left="0" w:right="0"/>
                    <w:jc w:val="center"/>
                    <w:rPr>
                      <w:szCs w:val="21"/>
                    </w:rPr>
                  </w:pPr>
                  <w:r>
                    <w:rPr>
                      <w:rFonts w:hint="eastAsia"/>
                      <w:szCs w:val="21"/>
                    </w:rPr>
                    <w:t>6</w:t>
                  </w:r>
                  <w:r>
                    <w:rPr>
                      <w:szCs w:val="21"/>
                      <w:vertAlign w:val="superscript"/>
                    </w:rPr>
                    <w:t>#</w:t>
                  </w:r>
                </w:p>
              </w:tc>
              <w:tc>
                <w:tcPr>
                  <w:tcW w:w="3116" w:type="dxa"/>
                  <w:vAlign w:val="center"/>
                </w:tcPr>
                <w:p w14:paraId="4E3A7E2A">
                  <w:pPr>
                    <w:keepNext w:val="0"/>
                    <w:keepLines w:val="0"/>
                    <w:suppressLineNumbers w:val="0"/>
                    <w:spacing w:before="0" w:beforeAutospacing="0" w:after="0" w:afterAutospacing="0"/>
                    <w:ind w:left="0" w:right="0"/>
                    <w:jc w:val="center"/>
                    <w:rPr>
                      <w:szCs w:val="21"/>
                    </w:rPr>
                  </w:pPr>
                  <w:r>
                    <w:rPr>
                      <w:rFonts w:hint="eastAsia"/>
                      <w:bCs/>
                      <w:color w:val="000000"/>
                      <w:szCs w:val="21"/>
                    </w:rPr>
                    <w:t>220kV升压站南侧</w:t>
                  </w:r>
                </w:p>
              </w:tc>
              <w:tc>
                <w:tcPr>
                  <w:tcW w:w="1725" w:type="dxa"/>
                  <w:vAlign w:val="center"/>
                </w:tcPr>
                <w:p w14:paraId="55DDCC41">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39</w:t>
                  </w:r>
                </w:p>
              </w:tc>
              <w:tc>
                <w:tcPr>
                  <w:tcW w:w="1779" w:type="dxa"/>
                  <w:vAlign w:val="center"/>
                </w:tcPr>
                <w:p w14:paraId="0F56DB46">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37</w:t>
                  </w:r>
                </w:p>
              </w:tc>
            </w:tr>
            <w:tr w14:paraId="7EEF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14:paraId="3E7923F5">
                  <w:pPr>
                    <w:keepNext w:val="0"/>
                    <w:keepLines w:val="0"/>
                    <w:suppressLineNumbers w:val="0"/>
                    <w:spacing w:before="0" w:beforeAutospacing="0" w:after="0" w:afterAutospacing="0"/>
                    <w:ind w:left="0" w:right="0"/>
                    <w:jc w:val="center"/>
                    <w:rPr>
                      <w:szCs w:val="21"/>
                    </w:rPr>
                  </w:pPr>
                  <w:r>
                    <w:rPr>
                      <w:rFonts w:hint="eastAsia"/>
                      <w:szCs w:val="21"/>
                    </w:rPr>
                    <w:t>7</w:t>
                  </w:r>
                  <w:r>
                    <w:rPr>
                      <w:szCs w:val="21"/>
                      <w:vertAlign w:val="superscript"/>
                    </w:rPr>
                    <w:t>#</w:t>
                  </w:r>
                </w:p>
              </w:tc>
              <w:tc>
                <w:tcPr>
                  <w:tcW w:w="3116" w:type="dxa"/>
                  <w:vAlign w:val="center"/>
                </w:tcPr>
                <w:p w14:paraId="5655979D">
                  <w:pPr>
                    <w:keepNext w:val="0"/>
                    <w:keepLines w:val="0"/>
                    <w:suppressLineNumbers w:val="0"/>
                    <w:spacing w:before="0" w:beforeAutospacing="0" w:after="0" w:afterAutospacing="0"/>
                    <w:ind w:left="0" w:right="0"/>
                    <w:jc w:val="center"/>
                    <w:rPr>
                      <w:szCs w:val="21"/>
                    </w:rPr>
                  </w:pPr>
                  <w:r>
                    <w:rPr>
                      <w:rFonts w:hint="eastAsia"/>
                      <w:bCs/>
                      <w:color w:val="000000"/>
                      <w:szCs w:val="21"/>
                    </w:rPr>
                    <w:t>220kV升压站西侧</w:t>
                  </w:r>
                </w:p>
              </w:tc>
              <w:tc>
                <w:tcPr>
                  <w:tcW w:w="1725" w:type="dxa"/>
                  <w:vAlign w:val="center"/>
                </w:tcPr>
                <w:p w14:paraId="6745F54B">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40</w:t>
                  </w:r>
                </w:p>
              </w:tc>
              <w:tc>
                <w:tcPr>
                  <w:tcW w:w="1779" w:type="dxa"/>
                  <w:vAlign w:val="center"/>
                </w:tcPr>
                <w:p w14:paraId="1722A65B">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36</w:t>
                  </w:r>
                </w:p>
              </w:tc>
            </w:tr>
            <w:tr w14:paraId="66F6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14:paraId="4CB01D50">
                  <w:pPr>
                    <w:keepNext w:val="0"/>
                    <w:keepLines w:val="0"/>
                    <w:suppressLineNumbers w:val="0"/>
                    <w:spacing w:before="0" w:beforeAutospacing="0" w:after="0" w:afterAutospacing="0"/>
                    <w:ind w:left="0" w:right="0"/>
                    <w:jc w:val="center"/>
                    <w:rPr>
                      <w:szCs w:val="21"/>
                    </w:rPr>
                  </w:pPr>
                  <w:r>
                    <w:rPr>
                      <w:rFonts w:hint="eastAsia"/>
                      <w:szCs w:val="21"/>
                    </w:rPr>
                    <w:t>8</w:t>
                  </w:r>
                  <w:r>
                    <w:rPr>
                      <w:szCs w:val="21"/>
                      <w:vertAlign w:val="superscript"/>
                    </w:rPr>
                    <w:t>#</w:t>
                  </w:r>
                </w:p>
              </w:tc>
              <w:tc>
                <w:tcPr>
                  <w:tcW w:w="3116" w:type="dxa"/>
                  <w:vAlign w:val="center"/>
                </w:tcPr>
                <w:p w14:paraId="5D71A153">
                  <w:pPr>
                    <w:keepNext w:val="0"/>
                    <w:keepLines w:val="0"/>
                    <w:suppressLineNumbers w:val="0"/>
                    <w:spacing w:before="0" w:beforeAutospacing="0" w:after="0" w:afterAutospacing="0"/>
                    <w:ind w:left="0" w:right="0"/>
                    <w:jc w:val="center"/>
                    <w:rPr>
                      <w:szCs w:val="21"/>
                    </w:rPr>
                  </w:pPr>
                  <w:r>
                    <w:rPr>
                      <w:rFonts w:hint="eastAsia"/>
                      <w:bCs/>
                      <w:color w:val="000000"/>
                      <w:szCs w:val="21"/>
                    </w:rPr>
                    <w:t>220kV升压站北侧</w:t>
                  </w:r>
                </w:p>
              </w:tc>
              <w:tc>
                <w:tcPr>
                  <w:tcW w:w="1725" w:type="dxa"/>
                  <w:vAlign w:val="center"/>
                </w:tcPr>
                <w:p w14:paraId="5D1A65C5">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39</w:t>
                  </w:r>
                </w:p>
              </w:tc>
              <w:tc>
                <w:tcPr>
                  <w:tcW w:w="1779" w:type="dxa"/>
                  <w:vAlign w:val="center"/>
                </w:tcPr>
                <w:p w14:paraId="1CA9E1F5">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37</w:t>
                  </w:r>
                </w:p>
              </w:tc>
            </w:tr>
            <w:tr w14:paraId="74E0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14:paraId="1242C4DB">
                  <w:pPr>
                    <w:keepNext w:val="0"/>
                    <w:keepLines w:val="0"/>
                    <w:suppressLineNumbers w:val="0"/>
                    <w:spacing w:before="0" w:beforeAutospacing="0" w:after="0" w:afterAutospacing="0"/>
                    <w:ind w:left="0" w:right="0"/>
                    <w:jc w:val="center"/>
                    <w:rPr>
                      <w:szCs w:val="21"/>
                    </w:rPr>
                  </w:pPr>
                  <w:r>
                    <w:rPr>
                      <w:rFonts w:hint="eastAsia"/>
                      <w:szCs w:val="21"/>
                    </w:rPr>
                    <w:t>9</w:t>
                  </w:r>
                  <w:r>
                    <w:rPr>
                      <w:szCs w:val="21"/>
                      <w:vertAlign w:val="superscript"/>
                    </w:rPr>
                    <w:t>#</w:t>
                  </w:r>
                </w:p>
              </w:tc>
              <w:tc>
                <w:tcPr>
                  <w:tcW w:w="3116" w:type="dxa"/>
                  <w:vAlign w:val="center"/>
                </w:tcPr>
                <w:p w14:paraId="3C8B7D93">
                  <w:pPr>
                    <w:keepNext w:val="0"/>
                    <w:keepLines w:val="0"/>
                    <w:suppressLineNumbers w:val="0"/>
                    <w:spacing w:before="0" w:beforeAutospacing="0" w:after="0" w:afterAutospacing="0"/>
                    <w:ind w:left="0" w:right="0"/>
                    <w:jc w:val="center"/>
                    <w:rPr>
                      <w:szCs w:val="21"/>
                    </w:rPr>
                  </w:pPr>
                  <w:r>
                    <w:rPr>
                      <w:rFonts w:hint="eastAsia"/>
                      <w:bCs/>
                      <w:color w:val="000000"/>
                      <w:szCs w:val="21"/>
                    </w:rPr>
                    <w:t>220kV升压站中心点</w:t>
                  </w:r>
                </w:p>
              </w:tc>
              <w:tc>
                <w:tcPr>
                  <w:tcW w:w="1725" w:type="dxa"/>
                  <w:vAlign w:val="center"/>
                </w:tcPr>
                <w:p w14:paraId="5CE73A5C">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39</w:t>
                  </w:r>
                </w:p>
              </w:tc>
              <w:tc>
                <w:tcPr>
                  <w:tcW w:w="1779" w:type="dxa"/>
                  <w:vAlign w:val="center"/>
                </w:tcPr>
                <w:p w14:paraId="3A7D3096">
                  <w:pPr>
                    <w:keepNext w:val="0"/>
                    <w:keepLines w:val="0"/>
                    <w:widowControl/>
                    <w:suppressLineNumbers w:val="0"/>
                    <w:spacing w:before="0" w:beforeAutospacing="0" w:after="0" w:afterAutospacing="0"/>
                    <w:ind w:left="0" w:right="0"/>
                    <w:jc w:val="center"/>
                    <w:textAlignment w:val="center"/>
                    <w:rPr>
                      <w:szCs w:val="21"/>
                    </w:rPr>
                  </w:pPr>
                  <w:r>
                    <w:rPr>
                      <w:rFonts w:hint="eastAsia"/>
                      <w:kern w:val="0"/>
                      <w:szCs w:val="21"/>
                    </w:rPr>
                    <w:t>37</w:t>
                  </w:r>
                </w:p>
              </w:tc>
            </w:tr>
            <w:tr w14:paraId="4EF1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244DF48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szCs w:val="21"/>
                      <w:lang w:val="en-US" w:eastAsia="zh-CN"/>
                    </w:rPr>
                    <w:t>1</w:t>
                  </w:r>
                  <w:r>
                    <w:rPr>
                      <w:szCs w:val="21"/>
                    </w:rPr>
                    <w:t>1</w:t>
                  </w:r>
                  <w:r>
                    <w:rPr>
                      <w:szCs w:val="21"/>
                      <w:vertAlign w:val="superscript"/>
                    </w:rPr>
                    <w:t>#</w:t>
                  </w:r>
                </w:p>
              </w:tc>
              <w:tc>
                <w:tcPr>
                  <w:tcW w:w="3116" w:type="dxa"/>
                  <w:vAlign w:val="center"/>
                </w:tcPr>
                <w:p w14:paraId="35BCF304">
                  <w:pPr>
                    <w:keepNext w:val="0"/>
                    <w:keepLines w:val="0"/>
                    <w:suppressLineNumbers w:val="0"/>
                    <w:spacing w:before="0" w:beforeAutospacing="0" w:after="0" w:afterAutospacing="0"/>
                    <w:ind w:left="0" w:right="0"/>
                    <w:jc w:val="center"/>
                    <w:rPr>
                      <w:rFonts w:hint="eastAsia" w:eastAsia="宋体"/>
                      <w:bCs/>
                      <w:color w:val="000000"/>
                      <w:szCs w:val="21"/>
                      <w:lang w:val="en-US" w:eastAsia="zh-CN"/>
                    </w:rPr>
                  </w:pPr>
                  <w:r>
                    <w:rPr>
                      <w:rFonts w:hint="eastAsia"/>
                      <w:bCs/>
                      <w:color w:val="000000"/>
                      <w:szCs w:val="21"/>
                      <w:lang w:val="en-US" w:eastAsia="zh-CN"/>
                    </w:rPr>
                    <w:t>扩建间隔东侧</w:t>
                  </w:r>
                </w:p>
              </w:tc>
              <w:tc>
                <w:tcPr>
                  <w:tcW w:w="1725" w:type="dxa"/>
                  <w:vAlign w:val="center"/>
                </w:tcPr>
                <w:p w14:paraId="441109DE">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48</w:t>
                  </w:r>
                </w:p>
              </w:tc>
              <w:tc>
                <w:tcPr>
                  <w:tcW w:w="1779" w:type="dxa"/>
                  <w:vAlign w:val="center"/>
                </w:tcPr>
                <w:p w14:paraId="0F938753">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48</w:t>
                  </w:r>
                </w:p>
              </w:tc>
            </w:tr>
            <w:tr w14:paraId="6AFA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02FB494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szCs w:val="21"/>
                      <w:lang w:val="en-US" w:eastAsia="zh-CN"/>
                    </w:rPr>
                    <w:t>1</w:t>
                  </w:r>
                  <w:r>
                    <w:rPr>
                      <w:szCs w:val="21"/>
                    </w:rPr>
                    <w:t>2</w:t>
                  </w:r>
                  <w:r>
                    <w:rPr>
                      <w:szCs w:val="21"/>
                      <w:vertAlign w:val="superscript"/>
                    </w:rPr>
                    <w:t>#</w:t>
                  </w:r>
                </w:p>
              </w:tc>
              <w:tc>
                <w:tcPr>
                  <w:tcW w:w="3116" w:type="dxa"/>
                  <w:vAlign w:val="center"/>
                </w:tcPr>
                <w:p w14:paraId="3E9934CE">
                  <w:pPr>
                    <w:keepNext w:val="0"/>
                    <w:keepLines w:val="0"/>
                    <w:suppressLineNumbers w:val="0"/>
                    <w:spacing w:before="0" w:beforeAutospacing="0" w:after="0" w:afterAutospacing="0"/>
                    <w:ind w:left="0" w:right="0"/>
                    <w:jc w:val="center"/>
                    <w:rPr>
                      <w:rFonts w:hint="eastAsia"/>
                      <w:bCs/>
                      <w:color w:val="000000"/>
                      <w:szCs w:val="21"/>
                    </w:rPr>
                  </w:pPr>
                  <w:r>
                    <w:rPr>
                      <w:rFonts w:hint="eastAsia"/>
                      <w:bCs/>
                      <w:color w:val="000000"/>
                      <w:szCs w:val="21"/>
                      <w:lang w:val="en-US" w:eastAsia="zh-CN"/>
                    </w:rPr>
                    <w:t>扩建间隔南侧</w:t>
                  </w:r>
                </w:p>
              </w:tc>
              <w:tc>
                <w:tcPr>
                  <w:tcW w:w="1725" w:type="dxa"/>
                  <w:vAlign w:val="center"/>
                </w:tcPr>
                <w:p w14:paraId="7F039F72">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49</w:t>
                  </w:r>
                </w:p>
              </w:tc>
              <w:tc>
                <w:tcPr>
                  <w:tcW w:w="1779" w:type="dxa"/>
                  <w:vAlign w:val="center"/>
                </w:tcPr>
                <w:p w14:paraId="1231E3B6">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48</w:t>
                  </w:r>
                </w:p>
              </w:tc>
            </w:tr>
            <w:tr w14:paraId="08F0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532E567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szCs w:val="21"/>
                      <w:lang w:val="en-US" w:eastAsia="zh-CN"/>
                    </w:rPr>
                    <w:t>1</w:t>
                  </w:r>
                  <w:r>
                    <w:rPr>
                      <w:szCs w:val="21"/>
                    </w:rPr>
                    <w:t>3</w:t>
                  </w:r>
                  <w:r>
                    <w:rPr>
                      <w:szCs w:val="21"/>
                      <w:vertAlign w:val="superscript"/>
                    </w:rPr>
                    <w:t>#</w:t>
                  </w:r>
                </w:p>
              </w:tc>
              <w:tc>
                <w:tcPr>
                  <w:tcW w:w="3116" w:type="dxa"/>
                  <w:vAlign w:val="center"/>
                </w:tcPr>
                <w:p w14:paraId="3B6ABE75">
                  <w:pPr>
                    <w:keepNext w:val="0"/>
                    <w:keepLines w:val="0"/>
                    <w:suppressLineNumbers w:val="0"/>
                    <w:spacing w:before="0" w:beforeAutospacing="0" w:after="0" w:afterAutospacing="0"/>
                    <w:ind w:left="0" w:right="0"/>
                    <w:jc w:val="center"/>
                    <w:rPr>
                      <w:rFonts w:hint="eastAsia"/>
                      <w:bCs/>
                      <w:color w:val="000000"/>
                      <w:szCs w:val="21"/>
                    </w:rPr>
                  </w:pPr>
                  <w:r>
                    <w:rPr>
                      <w:rFonts w:hint="eastAsia"/>
                      <w:bCs/>
                      <w:color w:val="000000"/>
                      <w:szCs w:val="21"/>
                      <w:lang w:val="en-US" w:eastAsia="zh-CN"/>
                    </w:rPr>
                    <w:t>扩建间隔西侧</w:t>
                  </w:r>
                </w:p>
              </w:tc>
              <w:tc>
                <w:tcPr>
                  <w:tcW w:w="1725" w:type="dxa"/>
                  <w:vAlign w:val="center"/>
                </w:tcPr>
                <w:p w14:paraId="41BF31F2">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46</w:t>
                  </w:r>
                </w:p>
              </w:tc>
              <w:tc>
                <w:tcPr>
                  <w:tcW w:w="1779" w:type="dxa"/>
                  <w:vAlign w:val="center"/>
                </w:tcPr>
                <w:p w14:paraId="12D93AC4">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46</w:t>
                  </w:r>
                </w:p>
              </w:tc>
            </w:tr>
            <w:tr w14:paraId="1FD4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4160CA1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14</w:t>
                  </w:r>
                  <w:r>
                    <w:rPr>
                      <w:szCs w:val="21"/>
                      <w:vertAlign w:val="superscript"/>
                    </w:rPr>
                    <w:t>#</w:t>
                  </w:r>
                </w:p>
              </w:tc>
              <w:tc>
                <w:tcPr>
                  <w:tcW w:w="3116" w:type="dxa"/>
                  <w:vAlign w:val="center"/>
                </w:tcPr>
                <w:p w14:paraId="090D97FD">
                  <w:pPr>
                    <w:keepNext w:val="0"/>
                    <w:keepLines w:val="0"/>
                    <w:suppressLineNumbers w:val="0"/>
                    <w:spacing w:before="0" w:beforeAutospacing="0" w:after="0" w:afterAutospacing="0"/>
                    <w:ind w:left="0" w:right="0"/>
                    <w:jc w:val="center"/>
                    <w:rPr>
                      <w:rFonts w:hint="eastAsia"/>
                      <w:bCs/>
                      <w:color w:val="000000"/>
                      <w:szCs w:val="21"/>
                    </w:rPr>
                  </w:pPr>
                  <w:r>
                    <w:rPr>
                      <w:rFonts w:hint="eastAsia"/>
                      <w:bCs/>
                      <w:color w:val="000000"/>
                      <w:szCs w:val="21"/>
                      <w:lang w:val="en-US" w:eastAsia="zh-CN"/>
                    </w:rPr>
                    <w:t>扩建间隔北侧</w:t>
                  </w:r>
                </w:p>
              </w:tc>
              <w:tc>
                <w:tcPr>
                  <w:tcW w:w="1725" w:type="dxa"/>
                  <w:vAlign w:val="center"/>
                </w:tcPr>
                <w:p w14:paraId="340C8292">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44</w:t>
                  </w:r>
                </w:p>
              </w:tc>
              <w:tc>
                <w:tcPr>
                  <w:tcW w:w="1779" w:type="dxa"/>
                  <w:vAlign w:val="center"/>
                </w:tcPr>
                <w:p w14:paraId="4636DDBF">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45</w:t>
                  </w:r>
                </w:p>
              </w:tc>
            </w:tr>
            <w:tr w14:paraId="203A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vAlign w:val="center"/>
                </w:tcPr>
                <w:p w14:paraId="305E24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15</w:t>
                  </w:r>
                  <w:r>
                    <w:rPr>
                      <w:szCs w:val="21"/>
                      <w:vertAlign w:val="superscript"/>
                    </w:rPr>
                    <w:t>#</w:t>
                  </w:r>
                </w:p>
              </w:tc>
              <w:tc>
                <w:tcPr>
                  <w:tcW w:w="3116" w:type="dxa"/>
                  <w:vAlign w:val="center"/>
                </w:tcPr>
                <w:p w14:paraId="28F8E00A">
                  <w:pPr>
                    <w:keepNext w:val="0"/>
                    <w:keepLines w:val="0"/>
                    <w:suppressLineNumbers w:val="0"/>
                    <w:spacing w:before="0" w:beforeAutospacing="0" w:after="0" w:afterAutospacing="0"/>
                    <w:ind w:left="0" w:right="0"/>
                    <w:jc w:val="center"/>
                    <w:rPr>
                      <w:rFonts w:hint="eastAsia" w:eastAsia="宋体"/>
                      <w:bCs/>
                      <w:color w:val="000000"/>
                      <w:szCs w:val="21"/>
                      <w:lang w:eastAsia="zh-CN"/>
                    </w:rPr>
                  </w:pPr>
                  <w:r>
                    <w:rPr>
                      <w:rFonts w:hint="eastAsia"/>
                      <w:bCs/>
                      <w:color w:val="000000"/>
                      <w:szCs w:val="21"/>
                      <w:lang w:eastAsia="zh-CN"/>
                    </w:rPr>
                    <w:t>库米什变电站内</w:t>
                  </w:r>
                </w:p>
              </w:tc>
              <w:tc>
                <w:tcPr>
                  <w:tcW w:w="1725" w:type="dxa"/>
                  <w:vAlign w:val="center"/>
                </w:tcPr>
                <w:p w14:paraId="4492DCA2">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49</w:t>
                  </w:r>
                </w:p>
              </w:tc>
              <w:tc>
                <w:tcPr>
                  <w:tcW w:w="1779" w:type="dxa"/>
                  <w:vAlign w:val="center"/>
                </w:tcPr>
                <w:p w14:paraId="7D320C1B">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rPr>
                  </w:pPr>
                  <w:r>
                    <w:rPr>
                      <w:rFonts w:hint="eastAsia"/>
                      <w:kern w:val="0"/>
                      <w:szCs w:val="21"/>
                      <w:lang w:val="en-US" w:eastAsia="zh-CN"/>
                    </w:rPr>
                    <w:t>49</w:t>
                  </w:r>
                </w:p>
              </w:tc>
            </w:tr>
          </w:tbl>
          <w:p w14:paraId="6CD16755">
            <w:pPr>
              <w:widowControl/>
              <w:spacing w:line="360" w:lineRule="auto"/>
              <w:ind w:firstLine="480" w:firstLineChars="200"/>
              <w:jc w:val="left"/>
              <w:rPr>
                <w:color w:val="000000"/>
                <w:kern w:val="0"/>
                <w:sz w:val="24"/>
              </w:rPr>
            </w:pPr>
            <w:r>
              <w:rPr>
                <w:color w:val="000000"/>
                <w:kern w:val="0"/>
                <w:sz w:val="24"/>
              </w:rPr>
              <w:t>由表3-</w:t>
            </w:r>
            <w:r>
              <w:rPr>
                <w:rFonts w:hint="eastAsia"/>
                <w:color w:val="000000"/>
                <w:kern w:val="0"/>
                <w:sz w:val="24"/>
                <w:lang w:val="en-US" w:eastAsia="zh-CN"/>
              </w:rPr>
              <w:t>6</w:t>
            </w:r>
            <w:r>
              <w:rPr>
                <w:color w:val="000000"/>
                <w:kern w:val="0"/>
                <w:sz w:val="24"/>
              </w:rPr>
              <w:t>监测结果可知，220</w:t>
            </w:r>
            <w:r>
              <w:rPr>
                <w:rFonts w:hint="eastAsia"/>
                <w:color w:val="000000"/>
                <w:kern w:val="0"/>
                <w:sz w:val="24"/>
              </w:rPr>
              <w:t>kV升压站</w:t>
            </w:r>
            <w:r>
              <w:rPr>
                <w:rFonts w:hint="eastAsia"/>
                <w:color w:val="000000"/>
                <w:kern w:val="0"/>
                <w:sz w:val="24"/>
                <w:lang w:eastAsia="zh-CN"/>
              </w:rPr>
              <w:t>、</w:t>
            </w:r>
            <w:r>
              <w:rPr>
                <w:rFonts w:hint="eastAsia"/>
                <w:color w:val="000000"/>
                <w:kern w:val="0"/>
                <w:sz w:val="24"/>
              </w:rPr>
              <w:t>220kV</w:t>
            </w:r>
            <w:r>
              <w:rPr>
                <w:color w:val="000000"/>
                <w:kern w:val="0"/>
                <w:sz w:val="24"/>
              </w:rPr>
              <w:t>输</w:t>
            </w:r>
            <w:r>
              <w:rPr>
                <w:rFonts w:hint="eastAsia"/>
                <w:color w:val="000000"/>
                <w:kern w:val="0"/>
                <w:sz w:val="24"/>
              </w:rPr>
              <w:t>电</w:t>
            </w:r>
            <w:r>
              <w:rPr>
                <w:color w:val="000000"/>
                <w:kern w:val="0"/>
                <w:sz w:val="24"/>
              </w:rPr>
              <w:t>线</w:t>
            </w:r>
            <w:r>
              <w:rPr>
                <w:color w:val="000000" w:themeColor="text1"/>
                <w:kern w:val="0"/>
                <w:sz w:val="24"/>
              </w:rPr>
              <w:t>路</w:t>
            </w:r>
            <w:r>
              <w:rPr>
                <w:rFonts w:hint="eastAsia"/>
                <w:color w:val="000000" w:themeColor="text1"/>
                <w:kern w:val="0"/>
                <w:sz w:val="24"/>
                <w:lang w:eastAsia="zh-CN"/>
              </w:rPr>
              <w:t>及库米什扩建间隔</w:t>
            </w:r>
            <w:r>
              <w:rPr>
                <w:color w:val="000000" w:themeColor="text1"/>
                <w:kern w:val="0"/>
                <w:sz w:val="24"/>
              </w:rPr>
              <w:t>声</w:t>
            </w:r>
            <w:r>
              <w:rPr>
                <w:color w:val="000000"/>
                <w:kern w:val="0"/>
                <w:sz w:val="24"/>
              </w:rPr>
              <w:t>环境质量满足《声环境质量标准》(GB3096-2008)中2类标准(昼间60dB(A)、夜间50dB(A))。</w:t>
            </w:r>
          </w:p>
          <w:p w14:paraId="02C1652C">
            <w:pPr>
              <w:pStyle w:val="3"/>
              <w:rPr>
                <w:rFonts w:ascii="宋体" w:hAnsi="宋体" w:eastAsia="宋体"/>
                <w:kern w:val="0"/>
                <w:sz w:val="24"/>
                <w:szCs w:val="24"/>
              </w:rPr>
            </w:pPr>
            <w:r>
              <w:rPr>
                <w:rFonts w:ascii="Times New Roman" w:hAnsi="Times New Roman" w:eastAsia="宋体"/>
                <w:kern w:val="0"/>
                <w:sz w:val="24"/>
                <w:szCs w:val="24"/>
              </w:rPr>
              <w:t>5</w:t>
            </w:r>
            <w:r>
              <w:rPr>
                <w:rFonts w:hint="eastAsia" w:ascii="宋体" w:hAnsi="宋体" w:eastAsia="宋体"/>
                <w:kern w:val="0"/>
                <w:sz w:val="24"/>
                <w:szCs w:val="24"/>
              </w:rPr>
              <w:t>、</w:t>
            </w:r>
            <w:r>
              <w:rPr>
                <w:rFonts w:ascii="宋体" w:hAnsi="宋体" w:eastAsia="宋体"/>
                <w:kern w:val="0"/>
                <w:sz w:val="24"/>
                <w:szCs w:val="24"/>
              </w:rPr>
              <w:t>土壤及水环境质量现状调查及评价</w:t>
            </w:r>
          </w:p>
          <w:p w14:paraId="1919A8FF">
            <w:pPr>
              <w:snapToGrid w:val="0"/>
              <w:spacing w:line="360" w:lineRule="auto"/>
              <w:contextualSpacing/>
              <w:rPr>
                <w:rFonts w:hAnsi="宋体"/>
                <w:b/>
                <w:bCs/>
                <w:sz w:val="24"/>
              </w:rPr>
            </w:pPr>
            <w:r>
              <w:rPr>
                <w:rFonts w:hint="eastAsia" w:hAnsi="宋体"/>
                <w:b/>
                <w:bCs/>
                <w:sz w:val="24"/>
              </w:rPr>
              <w:t>5.1地下水</w:t>
            </w:r>
          </w:p>
          <w:p w14:paraId="12663BA9">
            <w:pPr>
              <w:adjustRightInd w:val="0"/>
              <w:snapToGrid w:val="0"/>
              <w:spacing w:line="360" w:lineRule="auto"/>
              <w:ind w:firstLine="480" w:firstLineChars="200"/>
              <w:rPr>
                <w:sz w:val="24"/>
                <w:lang w:val="zh-CN"/>
              </w:rPr>
            </w:pPr>
            <w:r>
              <w:rPr>
                <w:sz w:val="24"/>
                <w:lang w:val="zh-CN"/>
              </w:rPr>
              <w:t>根据《环境影响评价技术导则 地下水环境》（HJ610-2016）判定，本项目属于“</w:t>
            </w:r>
            <w:r>
              <w:rPr>
                <w:sz w:val="24"/>
              </w:rPr>
              <w:t>35.送（输）变电工程</w:t>
            </w:r>
            <w:r>
              <w:rPr>
                <w:sz w:val="24"/>
                <w:lang w:val="zh-CN"/>
              </w:rPr>
              <w:t>”，地下水环境影响评价类别为Ⅳ类，Ⅳ类建设项目可不开展地下水环境影响评价。</w:t>
            </w:r>
          </w:p>
          <w:p w14:paraId="3DF2F3BF">
            <w:pPr>
              <w:snapToGrid w:val="0"/>
              <w:spacing w:line="360" w:lineRule="auto"/>
              <w:contextualSpacing/>
              <w:rPr>
                <w:rFonts w:hAnsi="宋体"/>
                <w:b/>
                <w:bCs/>
                <w:sz w:val="24"/>
              </w:rPr>
            </w:pPr>
            <w:r>
              <w:rPr>
                <w:rFonts w:hint="eastAsia" w:hAnsi="宋体"/>
                <w:b/>
                <w:bCs/>
                <w:sz w:val="24"/>
              </w:rPr>
              <w:t>5.2土壤</w:t>
            </w:r>
          </w:p>
          <w:p w14:paraId="54A79B3A">
            <w:pPr>
              <w:widowControl/>
              <w:spacing w:line="360" w:lineRule="auto"/>
              <w:ind w:firstLine="480" w:firstLineChars="200"/>
              <w:jc w:val="left"/>
              <w:rPr>
                <w:b/>
                <w:bCs/>
                <w:spacing w:val="4"/>
                <w:sz w:val="20"/>
                <w:szCs w:val="20"/>
              </w:rPr>
            </w:pPr>
            <w:r>
              <w:rPr>
                <w:rFonts w:ascii="宋体" w:hAnsi="宋体"/>
                <w:sz w:val="24"/>
              </w:rPr>
              <w:t>根据《环境影响评价技术导则 土壤环境（试行）》（</w:t>
            </w:r>
            <w:r>
              <w:rPr>
                <w:sz w:val="24"/>
              </w:rPr>
              <w:t>HJ964-2018</w:t>
            </w:r>
            <w:r>
              <w:rPr>
                <w:rFonts w:ascii="宋体" w:hAnsi="宋体"/>
                <w:sz w:val="24"/>
              </w:rPr>
              <w:t>）附录</w:t>
            </w:r>
            <w:r>
              <w:rPr>
                <w:sz w:val="24"/>
              </w:rPr>
              <w:t>A</w:t>
            </w:r>
            <w:r>
              <w:rPr>
                <w:rFonts w:ascii="宋体" w:hAnsi="宋体"/>
                <w:sz w:val="24"/>
              </w:rPr>
              <w:t>可知，本项目土壤环境影响评价项目类别为“</w:t>
            </w:r>
            <w:r>
              <w:rPr>
                <w:rFonts w:hint="eastAsia" w:ascii="宋体" w:hAnsi="宋体"/>
                <w:sz w:val="24"/>
              </w:rPr>
              <w:t>电力热力燃气及水生产和供应业</w:t>
            </w:r>
            <w:r>
              <w:rPr>
                <w:rFonts w:ascii="宋体" w:hAnsi="宋体"/>
                <w:sz w:val="24"/>
              </w:rPr>
              <w:t>”</w:t>
            </w:r>
            <w:r>
              <w:rPr>
                <w:rFonts w:hint="eastAsia" w:ascii="宋体" w:hAnsi="宋体"/>
                <w:sz w:val="24"/>
              </w:rPr>
              <w:t>中的“其他”</w:t>
            </w:r>
            <w:r>
              <w:rPr>
                <w:rFonts w:ascii="宋体" w:hAnsi="宋体"/>
                <w:sz w:val="24"/>
              </w:rPr>
              <w:t>，属于</w:t>
            </w:r>
            <w:r>
              <w:rPr>
                <w:rFonts w:hint="default" w:ascii="Times New Roman" w:hAnsi="Times New Roman" w:cs="Times New Roman"/>
                <w:sz w:val="24"/>
              </w:rPr>
              <w:t>Ⅳ</w:t>
            </w:r>
            <w:r>
              <w:rPr>
                <w:rFonts w:hint="eastAsia" w:ascii="宋体" w:hAnsi="宋体"/>
                <w:sz w:val="24"/>
              </w:rPr>
              <w:t>类，</w:t>
            </w:r>
            <w:r>
              <w:rPr>
                <w:rFonts w:hint="default" w:ascii="Times New Roman" w:hAnsi="Times New Roman" w:cs="Times New Roman"/>
                <w:sz w:val="24"/>
              </w:rPr>
              <w:t>Ⅳ</w:t>
            </w:r>
            <w:r>
              <w:rPr>
                <w:rFonts w:ascii="宋体" w:hAnsi="宋体"/>
                <w:sz w:val="24"/>
              </w:rPr>
              <w:t>类项目可不开展土壤环境影响评价</w:t>
            </w:r>
            <w:r>
              <w:rPr>
                <w:rFonts w:hint="eastAsia" w:ascii="宋体" w:hAnsi="宋体"/>
                <w:sz w:val="24"/>
              </w:rPr>
              <w:t>。因此本次评价不进行土壤环境质量现状调查。</w:t>
            </w:r>
          </w:p>
          <w:p w14:paraId="5400C5BA">
            <w:pPr>
              <w:widowControl/>
              <w:spacing w:line="360" w:lineRule="auto"/>
              <w:jc w:val="left"/>
              <w:rPr>
                <w:b/>
                <w:bCs/>
                <w:spacing w:val="4"/>
                <w:sz w:val="20"/>
                <w:szCs w:val="20"/>
              </w:rPr>
            </w:pPr>
          </w:p>
          <w:p w14:paraId="0345DCFB">
            <w:pPr>
              <w:widowControl/>
              <w:spacing w:line="360" w:lineRule="auto"/>
              <w:jc w:val="left"/>
              <w:rPr>
                <w:b/>
                <w:bCs/>
                <w:spacing w:val="4"/>
                <w:sz w:val="20"/>
                <w:szCs w:val="20"/>
              </w:rPr>
            </w:pPr>
          </w:p>
        </w:tc>
      </w:tr>
      <w:tr w14:paraId="38A43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44" w:hRule="atLeast"/>
        </w:trPr>
        <w:tc>
          <w:tcPr>
            <w:tcW w:w="800" w:type="dxa"/>
            <w:tcBorders>
              <w:right w:val="single" w:color="000000" w:sz="2" w:space="0"/>
            </w:tcBorders>
            <w:vAlign w:val="center"/>
          </w:tcPr>
          <w:p w14:paraId="7B277F8F">
            <w:pPr>
              <w:pStyle w:val="30"/>
              <w:spacing w:before="67"/>
              <w:rPr>
                <w:lang w:eastAsia="zh-CN"/>
              </w:rPr>
            </w:pPr>
            <w:r>
              <w:rPr>
                <w:rFonts w:hint="eastAsia"/>
                <w:lang w:eastAsia="zh-CN"/>
              </w:rPr>
              <w:t>与项目有关的原有环境污染和生态破坏问题</w:t>
            </w:r>
          </w:p>
        </w:tc>
        <w:tc>
          <w:tcPr>
            <w:tcW w:w="8753" w:type="dxa"/>
            <w:tcBorders>
              <w:left w:val="single" w:color="000000" w:sz="2" w:space="0"/>
            </w:tcBorders>
          </w:tcPr>
          <w:p w14:paraId="2E6F1105">
            <w:pPr>
              <w:spacing w:line="467" w:lineRule="auto"/>
              <w:rPr>
                <w:rFonts w:ascii="Arial"/>
              </w:rPr>
            </w:pPr>
          </w:p>
          <w:p w14:paraId="4D12D78B">
            <w:pPr>
              <w:pStyle w:val="30"/>
              <w:spacing w:before="78" w:line="376" w:lineRule="auto"/>
              <w:ind w:left="106" w:right="102" w:firstLine="482"/>
              <w:rPr>
                <w:b/>
                <w:bCs/>
                <w:spacing w:val="4"/>
                <w:sz w:val="20"/>
                <w:szCs w:val="20"/>
              </w:rPr>
            </w:pPr>
            <w:r>
              <w:rPr>
                <w:spacing w:val="3"/>
              </w:rPr>
              <w:t>本项目为新建工程，不涉及原有环境污染和生态破坏问题。</w:t>
            </w:r>
          </w:p>
        </w:tc>
      </w:tr>
      <w:tr w14:paraId="1C98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22" w:hRule="atLeast"/>
        </w:trPr>
        <w:tc>
          <w:tcPr>
            <w:tcW w:w="800" w:type="dxa"/>
            <w:tcBorders>
              <w:right w:val="single" w:color="000000" w:sz="2" w:space="0"/>
            </w:tcBorders>
            <w:vAlign w:val="center"/>
          </w:tcPr>
          <w:p w14:paraId="3D7E7CA3">
            <w:pPr>
              <w:pStyle w:val="30"/>
              <w:spacing w:before="78" w:line="376" w:lineRule="auto"/>
              <w:ind w:right="102"/>
              <w:jc w:val="center"/>
              <w:rPr>
                <w:sz w:val="20"/>
                <w:szCs w:val="20"/>
                <w:lang w:eastAsia="zh-CN"/>
              </w:rPr>
            </w:pPr>
            <w:r>
              <w:rPr>
                <w:rFonts w:hint="eastAsia"/>
                <w:lang w:eastAsia="zh-CN"/>
              </w:rPr>
              <w:t>生态环境保护目标</w:t>
            </w:r>
          </w:p>
        </w:tc>
        <w:tc>
          <w:tcPr>
            <w:tcW w:w="8753" w:type="dxa"/>
            <w:tcBorders>
              <w:left w:val="single" w:color="000000" w:sz="2" w:space="0"/>
            </w:tcBorders>
          </w:tcPr>
          <w:p w14:paraId="79BEC8F9">
            <w:pPr>
              <w:widowControl/>
              <w:spacing w:line="360" w:lineRule="auto"/>
              <w:ind w:firstLine="480" w:firstLineChars="200"/>
              <w:jc w:val="left"/>
            </w:pPr>
            <w:r>
              <w:rPr>
                <w:color w:val="000000"/>
                <w:kern w:val="0"/>
                <w:sz w:val="24"/>
              </w:rPr>
              <w:t>根据《建设项目环境影响评价分类管理名录(2021年版)》，输变电类项目环境敏感区为：</w:t>
            </w:r>
          </w:p>
          <w:p w14:paraId="7F76504F">
            <w:pPr>
              <w:widowControl/>
              <w:spacing w:line="360" w:lineRule="auto"/>
              <w:jc w:val="left"/>
              <w:rPr>
                <w:sz w:val="24"/>
              </w:rPr>
            </w:pPr>
            <w:r>
              <w:rPr>
                <w:color w:val="000000"/>
                <w:kern w:val="0"/>
                <w:sz w:val="24"/>
              </w:rPr>
              <w:t>(一)类，国家公园、自然保护区、风景名胜区、世界文化和自然遗产地、海洋特别保护区、饮用水水源保护区；</w:t>
            </w:r>
          </w:p>
          <w:p w14:paraId="173B78D9">
            <w:pPr>
              <w:widowControl/>
              <w:spacing w:line="360" w:lineRule="auto"/>
              <w:jc w:val="left"/>
              <w:rPr>
                <w:sz w:val="24"/>
              </w:rPr>
            </w:pPr>
            <w:r>
              <w:rPr>
                <w:color w:val="000000"/>
                <w:kern w:val="0"/>
                <w:sz w:val="24"/>
              </w:rPr>
              <w:t xml:space="preserve">(三)类，以居住、医疗卫生、文化教育、科研、行政办公等为主要功能的区域。 </w:t>
            </w:r>
          </w:p>
          <w:p w14:paraId="0E1F12BF">
            <w:pPr>
              <w:widowControl/>
              <w:spacing w:line="360" w:lineRule="auto"/>
              <w:ind w:firstLine="480" w:firstLineChars="200"/>
              <w:jc w:val="left"/>
              <w:rPr>
                <w:color w:val="000000"/>
                <w:kern w:val="0"/>
                <w:sz w:val="24"/>
              </w:rPr>
            </w:pPr>
            <w:r>
              <w:rPr>
                <w:color w:val="000000"/>
                <w:kern w:val="0"/>
                <w:sz w:val="24"/>
              </w:rPr>
              <w:t>本项目不涉及国家公园、自然保护区、风景名胜区、世界文化和自然遗产地、海洋特别保护区、饮用水水源保护区等环境敏感区。</w:t>
            </w:r>
          </w:p>
          <w:p w14:paraId="1391E38A">
            <w:pPr>
              <w:widowControl/>
              <w:jc w:val="left"/>
            </w:pPr>
            <w:r>
              <w:rPr>
                <w:b/>
                <w:bCs/>
                <w:color w:val="000000"/>
                <w:kern w:val="0"/>
                <w:sz w:val="24"/>
              </w:rPr>
              <w:t xml:space="preserve">1、生态环境 </w:t>
            </w:r>
          </w:p>
          <w:p w14:paraId="7529FA20">
            <w:pPr>
              <w:widowControl/>
              <w:spacing w:line="360" w:lineRule="auto"/>
              <w:ind w:firstLine="480" w:firstLineChars="200"/>
              <w:jc w:val="left"/>
              <w:rPr>
                <w:color w:val="000000"/>
                <w:kern w:val="0"/>
                <w:sz w:val="24"/>
              </w:rPr>
            </w:pPr>
            <w:r>
              <w:rPr>
                <w:color w:val="000000"/>
                <w:kern w:val="0"/>
                <w:sz w:val="24"/>
              </w:rPr>
              <w:t>根据《环境影响评价技术导则 生态影响》(HJ19-2022)中的规定，生态敏感区包括：法定生态保护区域、重要生境以及其他具有重要生态功能、对保护生物多样性</w:t>
            </w:r>
          </w:p>
          <w:p w14:paraId="7BCD527A">
            <w:pPr>
              <w:widowControl/>
              <w:spacing w:line="360" w:lineRule="auto"/>
              <w:ind w:firstLine="480" w:firstLineChars="200"/>
              <w:jc w:val="left"/>
              <w:rPr>
                <w:color w:val="000000"/>
                <w:kern w:val="0"/>
                <w:sz w:val="24"/>
              </w:rPr>
            </w:pPr>
            <w:r>
              <w:rPr>
                <w:color w:val="000000"/>
                <w:kern w:val="0"/>
                <w:sz w:val="24"/>
              </w:rPr>
              <w:t xml:space="preserve">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 </w:t>
            </w:r>
          </w:p>
          <w:p w14:paraId="7B268522">
            <w:pPr>
              <w:widowControl/>
              <w:spacing w:line="360" w:lineRule="auto"/>
              <w:ind w:firstLine="480" w:firstLineChars="200"/>
              <w:jc w:val="left"/>
              <w:rPr>
                <w:color w:val="000000"/>
                <w:kern w:val="0"/>
                <w:sz w:val="24"/>
              </w:rPr>
            </w:pPr>
            <w:r>
              <w:rPr>
                <w:color w:val="000000"/>
                <w:kern w:val="0"/>
                <w:sz w:val="24"/>
              </w:rPr>
              <w:t>本项目220kV输电线路边导线投影外两侧各300m内的带状区域及220kV升压站和库米什220kV变电站扩建间隔的站场边界或围墙外500m内均不涉及《环境影响评价技术导则 生态影响》(HJ19-2022)中规定的生态保护目标。</w:t>
            </w:r>
          </w:p>
          <w:p w14:paraId="30017618">
            <w:pPr>
              <w:widowControl/>
              <w:jc w:val="left"/>
            </w:pPr>
            <w:r>
              <w:rPr>
                <w:b/>
                <w:bCs/>
                <w:color w:val="000000"/>
                <w:kern w:val="0"/>
                <w:sz w:val="24"/>
              </w:rPr>
              <w:t xml:space="preserve">2、电磁环境 </w:t>
            </w:r>
          </w:p>
          <w:p w14:paraId="1BB6AB88">
            <w:pPr>
              <w:widowControl/>
              <w:spacing w:line="360" w:lineRule="auto"/>
              <w:ind w:firstLine="480" w:firstLineChars="200"/>
              <w:jc w:val="left"/>
              <w:rPr>
                <w:sz w:val="24"/>
              </w:rPr>
            </w:pPr>
            <w:r>
              <w:rPr>
                <w:sz w:val="24"/>
              </w:rPr>
              <w:t>根据《环境影响评价技术导则 输变电》(HJ24-2020)，电磁环境敏感目标为电磁环境影响评价需重点关注的对象</w:t>
            </w:r>
            <w:r>
              <w:rPr>
                <w:color w:val="000000"/>
                <w:kern w:val="0"/>
                <w:sz w:val="24"/>
              </w:rPr>
              <w:t>。包括：住宅、学校、医院、办公楼、工厂等有公众居住，工作或学习的建筑物。本项目220kV输电线路电磁环境评价范围为边导线地面投影外两侧各40m范围内的区域；220kV升压站电磁环境评价范围为站界外40m范围内的区域，根据现场勘查，220kV输电线路和220kV升压站电磁环境评价范围内无电磁环境保护目标。</w:t>
            </w:r>
          </w:p>
          <w:p w14:paraId="31498012">
            <w:pPr>
              <w:widowControl/>
              <w:jc w:val="left"/>
            </w:pPr>
            <w:r>
              <w:rPr>
                <w:b/>
                <w:bCs/>
                <w:color w:val="000000"/>
                <w:kern w:val="0"/>
                <w:sz w:val="24"/>
              </w:rPr>
              <w:t xml:space="preserve">3、声环境 </w:t>
            </w:r>
          </w:p>
          <w:p w14:paraId="527AD11D">
            <w:pPr>
              <w:widowControl/>
              <w:spacing w:line="360" w:lineRule="auto"/>
              <w:ind w:firstLine="480" w:firstLineChars="200"/>
              <w:jc w:val="left"/>
              <w:rPr>
                <w:sz w:val="24"/>
              </w:rPr>
            </w:pPr>
            <w:r>
              <w:rPr>
                <w:sz w:val="24"/>
              </w:rPr>
              <w:t>根据《环境影响评价技术导则 声环境》（HJ2.4-2021），声环境敏感目标指依据法律法规、标准政策等确定的需要保持安静的建筑物及建筑物集中区，对于以固定声源为主的建设项目（如升压站），一般以建设项目边界向外200米为评价范围；根据《环境影响评价技术导则 输变电》（HJ24-2020）确定220kV架空线路声环境评价范围为边导线地面投影外两侧各40m范围内的区域。</w:t>
            </w:r>
          </w:p>
          <w:p w14:paraId="5E65CAB5">
            <w:pPr>
              <w:widowControl/>
              <w:spacing w:line="360" w:lineRule="auto"/>
              <w:ind w:firstLine="480" w:firstLineChars="200"/>
              <w:jc w:val="left"/>
              <w:rPr>
                <w:color w:val="000000"/>
                <w:kern w:val="0"/>
                <w:sz w:val="24"/>
              </w:rPr>
            </w:pPr>
            <w:r>
              <w:rPr>
                <w:sz w:val="24"/>
              </w:rPr>
              <w:t>根据现场勘查，本项目220kV升压站边界外200m不涉及声环境敏感目标，220kV输电线路边导线地面投影外两侧各40m范围内的区域不涉及声环境敏感目标</w:t>
            </w:r>
            <w:r>
              <w:rPr>
                <w:color w:val="000000"/>
                <w:kern w:val="0"/>
                <w:sz w:val="24"/>
              </w:rPr>
              <w:t>。</w:t>
            </w:r>
          </w:p>
          <w:p w14:paraId="22889A6B">
            <w:pPr>
              <w:widowControl/>
              <w:jc w:val="left"/>
            </w:pPr>
            <w:r>
              <w:rPr>
                <w:b/>
                <w:bCs/>
                <w:color w:val="000000"/>
                <w:kern w:val="0"/>
                <w:sz w:val="24"/>
              </w:rPr>
              <w:t xml:space="preserve">4、地下水环境 </w:t>
            </w:r>
          </w:p>
          <w:p w14:paraId="086F5DBB">
            <w:pPr>
              <w:widowControl/>
              <w:spacing w:line="360" w:lineRule="auto"/>
              <w:ind w:firstLine="480" w:firstLineChars="200"/>
              <w:jc w:val="left"/>
              <w:rPr>
                <w:color w:val="000000"/>
                <w:kern w:val="0"/>
                <w:sz w:val="24"/>
              </w:rPr>
            </w:pPr>
            <w:r>
              <w:rPr>
                <w:color w:val="000000"/>
                <w:kern w:val="0"/>
                <w:sz w:val="24"/>
              </w:rPr>
              <w:t>本项目500m范围内无地下水集中式饮用水水源和热水、矿泉水、温泉等特殊地下水资源。</w:t>
            </w:r>
          </w:p>
          <w:p w14:paraId="2D327134">
            <w:pPr>
              <w:widowControl/>
              <w:spacing w:line="360" w:lineRule="auto"/>
              <w:ind w:firstLine="480" w:firstLineChars="200"/>
              <w:jc w:val="left"/>
              <w:rPr>
                <w:color w:val="000000"/>
                <w:kern w:val="0"/>
                <w:sz w:val="24"/>
              </w:rPr>
            </w:pPr>
          </w:p>
          <w:p w14:paraId="5E422A9B">
            <w:pPr>
              <w:widowControl/>
              <w:spacing w:line="360" w:lineRule="auto"/>
              <w:ind w:firstLine="480" w:firstLineChars="200"/>
              <w:jc w:val="left"/>
              <w:rPr>
                <w:color w:val="000000"/>
                <w:kern w:val="0"/>
                <w:sz w:val="24"/>
              </w:rPr>
            </w:pPr>
          </w:p>
        </w:tc>
      </w:tr>
      <w:tr w14:paraId="77D2D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22" w:hRule="atLeast"/>
        </w:trPr>
        <w:tc>
          <w:tcPr>
            <w:tcW w:w="800" w:type="dxa"/>
            <w:tcBorders>
              <w:right w:val="single" w:color="000000" w:sz="2" w:space="0"/>
            </w:tcBorders>
            <w:vAlign w:val="center"/>
          </w:tcPr>
          <w:p w14:paraId="55954AB7">
            <w:pPr>
              <w:pStyle w:val="30"/>
              <w:spacing w:before="78" w:line="376" w:lineRule="auto"/>
              <w:ind w:right="102"/>
              <w:jc w:val="center"/>
              <w:rPr>
                <w:lang w:eastAsia="zh-CN"/>
              </w:rPr>
            </w:pPr>
            <w:r>
              <w:rPr>
                <w:rFonts w:hint="eastAsia"/>
                <w:lang w:eastAsia="zh-CN"/>
              </w:rPr>
              <w:t>评价</w:t>
            </w:r>
          </w:p>
          <w:p w14:paraId="59E8FE2F">
            <w:pPr>
              <w:pStyle w:val="30"/>
              <w:spacing w:before="78" w:line="376" w:lineRule="auto"/>
              <w:ind w:right="102"/>
              <w:jc w:val="center"/>
              <w:rPr>
                <w:lang w:eastAsia="zh-CN"/>
              </w:rPr>
            </w:pPr>
            <w:r>
              <w:rPr>
                <w:rFonts w:hint="eastAsia"/>
                <w:lang w:eastAsia="zh-CN"/>
              </w:rPr>
              <w:t>标准</w:t>
            </w:r>
          </w:p>
        </w:tc>
        <w:tc>
          <w:tcPr>
            <w:tcW w:w="8753" w:type="dxa"/>
            <w:tcBorders>
              <w:left w:val="single" w:color="000000" w:sz="2" w:space="0"/>
            </w:tcBorders>
          </w:tcPr>
          <w:p w14:paraId="28B443BC">
            <w:pPr>
              <w:pStyle w:val="33"/>
              <w:snapToGrid w:val="0"/>
              <w:ind w:firstLine="0" w:firstLineChars="0"/>
              <w:rPr>
                <w:b/>
                <w:szCs w:val="21"/>
              </w:rPr>
            </w:pPr>
            <w:r>
              <w:rPr>
                <w:b/>
                <w:bCs/>
                <w:color w:val="000000"/>
                <w:kern w:val="0"/>
                <w:sz w:val="24"/>
              </w:rPr>
              <w:t>1、环境质量标准</w:t>
            </w:r>
          </w:p>
          <w:p w14:paraId="4DDB9E19">
            <w:pPr>
              <w:pStyle w:val="33"/>
              <w:snapToGrid w:val="0"/>
              <w:ind w:firstLine="480"/>
              <w:rPr>
                <w:color w:val="000000"/>
                <w:kern w:val="0"/>
                <w:sz w:val="24"/>
              </w:rPr>
            </w:pPr>
            <w:r>
              <w:rPr>
                <w:color w:val="000000"/>
                <w:kern w:val="0"/>
                <w:sz w:val="24"/>
              </w:rPr>
              <w:t>（1）《环境空气质量标准》(GB3095-2012)中的二级标准。</w:t>
            </w:r>
          </w:p>
          <w:p w14:paraId="2AC768CA">
            <w:pPr>
              <w:pStyle w:val="33"/>
              <w:snapToGrid w:val="0"/>
              <w:ind w:firstLine="480"/>
              <w:rPr>
                <w:color w:val="000000"/>
                <w:kern w:val="0"/>
                <w:sz w:val="24"/>
              </w:rPr>
            </w:pPr>
            <w:r>
              <w:rPr>
                <w:color w:val="000000"/>
                <w:kern w:val="0"/>
                <w:sz w:val="24"/>
              </w:rPr>
              <w:t>（2）《声环境质量标准》(GB3096-2008)中的2类标准（昼间：60dB(A)，夜间50dB(A)）。</w:t>
            </w:r>
          </w:p>
          <w:p w14:paraId="1E3C3B45">
            <w:pPr>
              <w:pStyle w:val="33"/>
              <w:snapToGrid w:val="0"/>
              <w:ind w:firstLine="480"/>
              <w:rPr>
                <w:color w:val="000000"/>
                <w:kern w:val="0"/>
                <w:sz w:val="24"/>
              </w:rPr>
            </w:pPr>
            <w:r>
              <w:rPr>
                <w:color w:val="000000"/>
                <w:kern w:val="0"/>
                <w:sz w:val="24"/>
              </w:rPr>
              <w:t>（3）《电磁环境控制限值》(GB8702-2014)中的中表1“公众曝露控制限值”规定，工频电场强度控制限值为 4000V/m；磁感应强度控制限值为100μT；架空输电线路线下的耕地、园地、牧草地、畜禽饲养地、养殖水面、道路等场所，其频率50Hz 的电场强度控制限值为10kV/m，且应给出警示和防护指示标志。</w:t>
            </w:r>
          </w:p>
          <w:p w14:paraId="191BD779">
            <w:pPr>
              <w:pStyle w:val="33"/>
              <w:snapToGrid w:val="0"/>
              <w:ind w:firstLine="0" w:firstLineChars="0"/>
              <w:rPr>
                <w:b/>
                <w:bCs/>
                <w:color w:val="000000"/>
                <w:kern w:val="0"/>
                <w:sz w:val="24"/>
                <w:lang w:val="zh-CN"/>
              </w:rPr>
            </w:pPr>
            <w:r>
              <w:rPr>
                <w:b/>
                <w:bCs/>
                <w:color w:val="000000"/>
                <w:kern w:val="0"/>
                <w:sz w:val="24"/>
              </w:rPr>
              <w:t>2、</w:t>
            </w:r>
            <w:r>
              <w:rPr>
                <w:b/>
                <w:bCs/>
                <w:color w:val="000000"/>
                <w:kern w:val="0"/>
                <w:sz w:val="24"/>
                <w:lang w:val="zh-CN"/>
              </w:rPr>
              <w:t>污染物排放标准</w:t>
            </w:r>
          </w:p>
          <w:p w14:paraId="738AB47C">
            <w:pPr>
              <w:pStyle w:val="33"/>
              <w:snapToGrid w:val="0"/>
              <w:ind w:firstLine="480"/>
              <w:rPr>
                <w:color w:val="000000"/>
                <w:kern w:val="0"/>
                <w:sz w:val="24"/>
              </w:rPr>
            </w:pPr>
            <w:r>
              <w:rPr>
                <w:color w:val="000000"/>
                <w:kern w:val="0"/>
                <w:sz w:val="24"/>
              </w:rPr>
              <w:t>（1）施工噪声执行《建筑施工场界环境噪声排放标准》(GB12523-2011):昼间70dB(A)，夜间55dB(A)。</w:t>
            </w:r>
          </w:p>
          <w:p w14:paraId="65E8277C">
            <w:pPr>
              <w:pStyle w:val="33"/>
              <w:snapToGrid w:val="0"/>
              <w:ind w:firstLine="480"/>
              <w:rPr>
                <w:color w:val="000000"/>
                <w:kern w:val="0"/>
                <w:sz w:val="24"/>
              </w:rPr>
            </w:pPr>
            <w:r>
              <w:rPr>
                <w:color w:val="000000"/>
                <w:kern w:val="0"/>
                <w:sz w:val="24"/>
              </w:rPr>
              <w:t>（2）施工期粉（扬）尘执行《大气污染物综合排放标准》（GB16297-1996）表2中颗粒物无组织排放监控浓度限值（1.0mg/m</w:t>
            </w:r>
            <w:r>
              <w:rPr>
                <w:color w:val="000000"/>
                <w:kern w:val="0"/>
                <w:sz w:val="24"/>
                <w:vertAlign w:val="superscript"/>
              </w:rPr>
              <w:t>3</w:t>
            </w:r>
            <w:r>
              <w:rPr>
                <w:color w:val="000000"/>
                <w:kern w:val="0"/>
                <w:sz w:val="24"/>
              </w:rPr>
              <w:t>）。</w:t>
            </w:r>
          </w:p>
          <w:p w14:paraId="36CEE831">
            <w:pPr>
              <w:pStyle w:val="33"/>
              <w:snapToGrid w:val="0"/>
              <w:ind w:firstLine="480"/>
              <w:rPr>
                <w:color w:val="000000"/>
                <w:kern w:val="0"/>
                <w:sz w:val="24"/>
              </w:rPr>
            </w:pPr>
            <w:r>
              <w:rPr>
                <w:color w:val="000000"/>
                <w:kern w:val="0"/>
                <w:sz w:val="24"/>
              </w:rPr>
              <w:t>（3）运营期食堂油烟执行《饮食业油烟排放标准》（GB18483－2001）表2中小型饮食业单位油烟最高允许排放浓度：2.0mg/m</w:t>
            </w:r>
            <w:r>
              <w:rPr>
                <w:color w:val="000000"/>
                <w:kern w:val="0"/>
                <w:sz w:val="24"/>
                <w:vertAlign w:val="superscript"/>
              </w:rPr>
              <w:t>3</w:t>
            </w:r>
            <w:r>
              <w:rPr>
                <w:color w:val="000000"/>
                <w:kern w:val="0"/>
                <w:sz w:val="24"/>
              </w:rPr>
              <w:t>。</w:t>
            </w:r>
          </w:p>
          <w:p w14:paraId="7443EB20">
            <w:pPr>
              <w:pStyle w:val="33"/>
              <w:snapToGrid w:val="0"/>
              <w:ind w:firstLine="480"/>
              <w:rPr>
                <w:color w:val="000000"/>
                <w:kern w:val="0"/>
                <w:sz w:val="24"/>
              </w:rPr>
            </w:pPr>
            <w:r>
              <w:rPr>
                <w:color w:val="000000"/>
                <w:kern w:val="0"/>
                <w:sz w:val="24"/>
              </w:rPr>
              <w:t>（4）运营期站界噪声执行《工业企业厂界环境噪声排放标准》(GB12348-2008)2类标准：昼间60dB(A)，夜间50dB(A)。</w:t>
            </w:r>
          </w:p>
          <w:p w14:paraId="087CFAC5">
            <w:pPr>
              <w:pStyle w:val="33"/>
              <w:snapToGrid w:val="0"/>
              <w:ind w:firstLine="480"/>
              <w:rPr>
                <w:color w:val="000000"/>
                <w:kern w:val="0"/>
                <w:sz w:val="24"/>
              </w:rPr>
            </w:pPr>
            <w:r>
              <w:rPr>
                <w:color w:val="000000"/>
                <w:kern w:val="0"/>
                <w:sz w:val="24"/>
              </w:rPr>
              <w:t>（5）《电磁环境控制限值》（GB8702-2014）中表 1“公众曝露控制限值”规定，工频电场强度控制限值为4000V/m；磁感应强度控制限值为100μT。架空输电线路线下的耕地、园地、牧草地、畜禽饲养地、养殖水面、道路等场所，其频率50Hz 的电场强度控制限值为10kV/m，且应给出警示和防护指示标志；</w:t>
            </w:r>
          </w:p>
          <w:p w14:paraId="16214B98">
            <w:pPr>
              <w:pStyle w:val="33"/>
              <w:snapToGrid w:val="0"/>
              <w:ind w:firstLine="480"/>
              <w:rPr>
                <w:color w:val="000000"/>
                <w:kern w:val="0"/>
                <w:sz w:val="24"/>
              </w:rPr>
            </w:pPr>
            <w:r>
              <w:rPr>
                <w:color w:val="000000"/>
                <w:kern w:val="0"/>
                <w:sz w:val="24"/>
              </w:rPr>
              <w:t>（6）运营期固体废物执行：《一般工业固体废物贮存和填埋污染控制标准》（GB18599-2020）、《一般工业固体废物管理台账制定指南（试行）》。</w:t>
            </w:r>
          </w:p>
          <w:p w14:paraId="4898DCEF">
            <w:pPr>
              <w:pStyle w:val="33"/>
              <w:snapToGrid w:val="0"/>
              <w:ind w:firstLine="480"/>
              <w:rPr>
                <w:color w:val="000000"/>
                <w:kern w:val="0"/>
                <w:sz w:val="24"/>
              </w:rPr>
            </w:pPr>
            <w:r>
              <w:rPr>
                <w:color w:val="000000"/>
                <w:kern w:val="0"/>
                <w:sz w:val="24"/>
              </w:rPr>
              <w:t>危险废物执行：《危险废物贮存污染控制标准》（GB 18597-2023）、《危险废物管理计划和管理台账制定技术导则》（HJ 1259—2022）、</w:t>
            </w:r>
            <w:r>
              <w:rPr>
                <w:color w:val="000000"/>
                <w:kern w:val="0"/>
                <w:sz w:val="24"/>
                <w:lang w:val="zh-CN"/>
              </w:rPr>
              <w:t>《危险废物转移管理办法》、《危险废物识别标志设置技术规范》（HJ 1276—2022）、《危险废物收集贮存运输技术规范》（HJ2025-2012）</w:t>
            </w:r>
            <w:r>
              <w:rPr>
                <w:color w:val="000000"/>
                <w:kern w:val="0"/>
                <w:sz w:val="24"/>
              </w:rPr>
              <w:t>。</w:t>
            </w:r>
          </w:p>
          <w:p w14:paraId="43191DBA">
            <w:pPr>
              <w:pStyle w:val="33"/>
              <w:snapToGrid w:val="0"/>
              <w:ind w:firstLine="480"/>
              <w:rPr>
                <w:color w:val="000000"/>
                <w:kern w:val="0"/>
                <w:sz w:val="24"/>
              </w:rPr>
            </w:pPr>
            <w:r>
              <w:rPr>
                <w:color w:val="000000"/>
                <w:kern w:val="0"/>
                <w:sz w:val="24"/>
              </w:rPr>
              <w:t>（7）运营期废水执行《农村生活污水处理排放标准》（DB 65 4275-2019）表2 的A级标准。</w:t>
            </w:r>
          </w:p>
        </w:tc>
      </w:tr>
      <w:tr w14:paraId="3E84B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9" w:hRule="atLeast"/>
        </w:trPr>
        <w:tc>
          <w:tcPr>
            <w:tcW w:w="800" w:type="dxa"/>
            <w:tcBorders>
              <w:right w:val="single" w:color="000000" w:sz="2" w:space="0"/>
            </w:tcBorders>
            <w:vAlign w:val="center"/>
          </w:tcPr>
          <w:p w14:paraId="053275F2">
            <w:pPr>
              <w:pStyle w:val="30"/>
              <w:spacing w:before="78" w:line="376" w:lineRule="auto"/>
              <w:ind w:right="102"/>
              <w:jc w:val="center"/>
              <w:rPr>
                <w:lang w:eastAsia="zh-CN"/>
              </w:rPr>
            </w:pPr>
            <w:r>
              <w:rPr>
                <w:rFonts w:hint="eastAsia"/>
                <w:lang w:eastAsia="zh-CN"/>
              </w:rPr>
              <w:t>其他</w:t>
            </w:r>
          </w:p>
        </w:tc>
        <w:tc>
          <w:tcPr>
            <w:tcW w:w="8753" w:type="dxa"/>
            <w:tcBorders>
              <w:left w:val="single" w:color="000000" w:sz="2" w:space="0"/>
            </w:tcBorders>
            <w:vAlign w:val="center"/>
          </w:tcPr>
          <w:p w14:paraId="27EBF209">
            <w:pPr>
              <w:widowControl/>
              <w:spacing w:line="360" w:lineRule="auto"/>
              <w:ind w:firstLine="480" w:firstLineChars="200"/>
              <w:jc w:val="left"/>
              <w:rPr>
                <w:color w:val="000000"/>
                <w:kern w:val="0"/>
                <w:sz w:val="24"/>
              </w:rPr>
            </w:pPr>
            <w:r>
              <w:rPr>
                <w:color w:val="000000"/>
                <w:kern w:val="0"/>
                <w:sz w:val="24"/>
              </w:rPr>
              <w:t>根据国家规定的总量控制指标，并结合本项目的排污特点、所在区域环境质量现状等因素，环评建议本项目不申请污染物总量控制指标。</w:t>
            </w:r>
          </w:p>
        </w:tc>
      </w:tr>
    </w:tbl>
    <w:p w14:paraId="7B0D0668">
      <w:pPr>
        <w:widowControl/>
        <w:jc w:val="center"/>
        <w:rPr>
          <w:rFonts w:ascii="黑体" w:hAnsi="宋体" w:eastAsia="黑体" w:cs="黑体"/>
          <w:color w:val="000000"/>
          <w:kern w:val="0"/>
          <w:sz w:val="30"/>
          <w:szCs w:val="30"/>
        </w:rPr>
      </w:pPr>
    </w:p>
    <w:p w14:paraId="6851855C">
      <w:pPr>
        <w:widowControl/>
        <w:jc w:val="center"/>
        <w:rPr>
          <w:rFonts w:ascii="黑体" w:hAnsi="宋体" w:eastAsia="黑体" w:cs="黑体"/>
          <w:color w:val="000000"/>
          <w:kern w:val="0"/>
          <w:sz w:val="30"/>
          <w:szCs w:val="30"/>
        </w:rPr>
      </w:pPr>
    </w:p>
    <w:p w14:paraId="0491B981">
      <w:pPr>
        <w:widowControl/>
        <w:jc w:val="center"/>
        <w:rPr>
          <w:rFonts w:ascii="黑体" w:hAnsi="宋体" w:eastAsia="黑体" w:cs="黑体"/>
          <w:color w:val="000000"/>
          <w:kern w:val="0"/>
          <w:sz w:val="30"/>
          <w:szCs w:val="30"/>
        </w:rPr>
      </w:pPr>
    </w:p>
    <w:p w14:paraId="6E1143D5">
      <w:pPr>
        <w:widowControl/>
        <w:jc w:val="center"/>
        <w:rPr>
          <w:rFonts w:ascii="黑体" w:hAnsi="宋体" w:eastAsia="黑体" w:cs="黑体"/>
          <w:color w:val="000000"/>
          <w:kern w:val="0"/>
          <w:sz w:val="30"/>
          <w:szCs w:val="30"/>
        </w:rPr>
      </w:pPr>
    </w:p>
    <w:p w14:paraId="490829CA">
      <w:pPr>
        <w:widowControl/>
        <w:jc w:val="center"/>
        <w:rPr>
          <w:rFonts w:ascii="黑体" w:hAnsi="宋体" w:eastAsia="黑体" w:cs="黑体"/>
          <w:color w:val="000000"/>
          <w:kern w:val="0"/>
          <w:sz w:val="30"/>
          <w:szCs w:val="30"/>
        </w:rPr>
      </w:pPr>
    </w:p>
    <w:p w14:paraId="7382DEA4">
      <w:pPr>
        <w:pStyle w:val="29"/>
        <w:ind w:left="0" w:leftChars="0" w:right="105" w:firstLine="0" w:firstLineChars="0"/>
      </w:pPr>
    </w:p>
    <w:p w14:paraId="58109F3F"/>
    <w:p w14:paraId="07DCA9E9">
      <w:pPr>
        <w:rPr>
          <w:rFonts w:ascii="黑体" w:hAnsi="宋体" w:eastAsia="黑体" w:cs="黑体"/>
          <w:color w:val="000000"/>
          <w:kern w:val="0"/>
          <w:sz w:val="30"/>
          <w:szCs w:val="30"/>
        </w:rPr>
      </w:pPr>
      <w:r>
        <w:rPr>
          <w:rFonts w:ascii="黑体" w:hAnsi="宋体" w:eastAsia="黑体" w:cs="黑体"/>
          <w:color w:val="000000"/>
          <w:kern w:val="0"/>
          <w:sz w:val="30"/>
          <w:szCs w:val="30"/>
        </w:rPr>
        <w:br w:type="page"/>
      </w:r>
    </w:p>
    <w:p w14:paraId="4A0600E6">
      <w:pPr>
        <w:widowControl/>
        <w:jc w:val="center"/>
      </w:pPr>
      <w:r>
        <w:rPr>
          <w:rFonts w:ascii="黑体" w:hAnsi="宋体" w:eastAsia="黑体" w:cs="黑体"/>
          <w:color w:val="000000"/>
          <w:kern w:val="0"/>
          <w:sz w:val="30"/>
          <w:szCs w:val="30"/>
        </w:rPr>
        <w:t>四、生态环境影响分析</w:t>
      </w:r>
    </w:p>
    <w:tbl>
      <w:tblPr>
        <w:tblStyle w:val="22"/>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8346"/>
      </w:tblGrid>
      <w:tr w14:paraId="2717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781" w:type="dxa"/>
            <w:vAlign w:val="center"/>
          </w:tcPr>
          <w:p w14:paraId="19F76F9F">
            <w:pPr>
              <w:keepNext w:val="0"/>
              <w:keepLines w:val="0"/>
              <w:suppressLineNumbers w:val="0"/>
              <w:spacing w:before="0" w:beforeAutospacing="0" w:after="0" w:afterAutospacing="0"/>
              <w:ind w:left="0" w:right="0"/>
            </w:pPr>
            <w:r>
              <w:rPr>
                <w:sz w:val="24"/>
              </w:rPr>
              <w:t>施工期生态环境影响分析</w:t>
            </w:r>
          </w:p>
        </w:tc>
        <w:tc>
          <w:tcPr>
            <w:tcW w:w="8323" w:type="dxa"/>
          </w:tcPr>
          <w:p w14:paraId="2FD992EE">
            <w:pPr>
              <w:pStyle w:val="30"/>
              <w:keepNext w:val="0"/>
              <w:keepLines w:val="0"/>
              <w:suppressLineNumbers w:val="0"/>
              <w:spacing w:before="119" w:beforeAutospacing="0" w:after="0" w:afterAutospacing="0" w:line="360" w:lineRule="auto"/>
              <w:ind w:left="0" w:right="0"/>
              <w:rPr>
                <w:rFonts w:ascii="Times New Roman" w:hAnsi="Times New Roman" w:cs="Times New Roman"/>
                <w:b/>
                <w:bCs/>
                <w:spacing w:val="-3"/>
              </w:rPr>
            </w:pPr>
            <w:r>
              <w:rPr>
                <w:rFonts w:hint="eastAsia" w:ascii="Times New Roman" w:hAnsi="Times New Roman" w:cs="Times New Roman"/>
                <w:b/>
                <w:bCs/>
                <w:spacing w:val="-3"/>
                <w:lang w:eastAsia="zh-CN"/>
              </w:rPr>
              <w:t>1、</w:t>
            </w:r>
            <w:r>
              <w:rPr>
                <w:rFonts w:ascii="Times New Roman" w:hAnsi="Times New Roman" w:cs="Times New Roman"/>
                <w:b/>
                <w:bCs/>
                <w:spacing w:val="-3"/>
              </w:rPr>
              <w:t>生态环境影响分析</w:t>
            </w:r>
          </w:p>
          <w:p w14:paraId="5828BB86">
            <w:pPr>
              <w:pStyle w:val="30"/>
              <w:keepNext w:val="0"/>
              <w:keepLines w:val="0"/>
              <w:suppressLineNumbers w:val="0"/>
              <w:spacing w:before="34" w:beforeAutospacing="0" w:after="0" w:afterAutospacing="0" w:line="360" w:lineRule="auto"/>
              <w:ind w:left="0" w:right="0" w:firstLine="464" w:firstLineChars="200"/>
              <w:rPr>
                <w:rFonts w:ascii="Times New Roman" w:hAnsi="Times New Roman" w:cs="Times New Roman"/>
                <w:spacing w:val="-4"/>
              </w:rPr>
            </w:pPr>
            <w:r>
              <w:rPr>
                <w:rFonts w:ascii="Times New Roman" w:hAnsi="Times New Roman" w:cs="Times New Roman"/>
                <w:spacing w:val="-4"/>
                <w:lang w:eastAsia="zh-CN"/>
              </w:rPr>
              <w:t>本项目施工期生态影响因素主要表现为：</w:t>
            </w:r>
            <w:r>
              <w:rPr>
                <w:rFonts w:ascii="Times New Roman" w:hAnsi="Times New Roman" w:cs="Times New Roman"/>
                <w:spacing w:val="-4"/>
              </w:rPr>
              <w:t>场地平整、施工生产生活设施修建、施工道路修筑、</w:t>
            </w:r>
            <w:r>
              <w:rPr>
                <w:rFonts w:ascii="Times New Roman" w:hAnsi="Times New Roman" w:cs="Times New Roman"/>
                <w:spacing w:val="-4"/>
                <w:lang w:eastAsia="zh-CN"/>
              </w:rPr>
              <w:t>升压</w:t>
            </w:r>
            <w:r>
              <w:rPr>
                <w:rFonts w:ascii="Times New Roman" w:hAnsi="Times New Roman" w:cs="Times New Roman"/>
                <w:spacing w:val="-4"/>
              </w:rPr>
              <w:t>站及站内设备基础建设</w:t>
            </w:r>
            <w:r>
              <w:rPr>
                <w:rFonts w:ascii="Times New Roman" w:hAnsi="Times New Roman" w:cs="Times New Roman"/>
                <w:spacing w:val="-4"/>
                <w:lang w:eastAsia="zh-CN"/>
              </w:rPr>
              <w:t>；输电线路的基坑开挖，施工期铁塔架设、牵张场施工等对建设区生态环境产生的影响。</w:t>
            </w:r>
          </w:p>
          <w:p w14:paraId="6552F071">
            <w:pPr>
              <w:pStyle w:val="30"/>
              <w:keepNext w:val="0"/>
              <w:keepLines w:val="0"/>
              <w:suppressLineNumbers w:val="0"/>
              <w:spacing w:before="34" w:beforeAutospacing="0" w:after="0" w:afterAutospacing="0" w:line="360" w:lineRule="auto"/>
              <w:ind w:left="0" w:right="0"/>
              <w:rPr>
                <w:rFonts w:ascii="Times New Roman" w:hAnsi="Times New Roman" w:cs="Times New Roman"/>
                <w:b/>
                <w:bCs/>
                <w:spacing w:val="-3"/>
              </w:rPr>
            </w:pPr>
            <w:r>
              <w:rPr>
                <w:rFonts w:ascii="Times New Roman" w:hAnsi="Times New Roman" w:eastAsia="Times New Roman" w:cs="Times New Roman"/>
                <w:b/>
                <w:bCs/>
                <w:spacing w:val="-3"/>
              </w:rPr>
              <w:t>1.1</w:t>
            </w:r>
            <w:r>
              <w:rPr>
                <w:rFonts w:ascii="Times New Roman" w:hAnsi="Times New Roman" w:cs="Times New Roman"/>
                <w:b/>
                <w:bCs/>
                <w:spacing w:val="-3"/>
              </w:rPr>
              <w:t>对土地利用的影响分析</w:t>
            </w:r>
          </w:p>
          <w:p w14:paraId="73A02EED">
            <w:pPr>
              <w:pStyle w:val="30"/>
              <w:keepNext w:val="0"/>
              <w:keepLines w:val="0"/>
              <w:suppressLineNumbers w:val="0"/>
              <w:spacing w:before="34" w:beforeAutospacing="0" w:after="0" w:afterAutospacing="0" w:line="360" w:lineRule="auto"/>
              <w:ind w:left="0" w:right="0" w:firstLine="464" w:firstLineChars="200"/>
              <w:rPr>
                <w:rFonts w:ascii="Times New Roman" w:hAnsi="Times New Roman" w:cs="Times New Roman"/>
              </w:rPr>
            </w:pPr>
            <w:r>
              <w:rPr>
                <w:rFonts w:ascii="Times New Roman" w:hAnsi="Times New Roman" w:cs="Times New Roman"/>
                <w:spacing w:val="-4"/>
              </w:rPr>
              <w:t>本项目建设会永久和临时占用一定面积的土地，对占用土地地表造成</w:t>
            </w:r>
            <w:r>
              <w:rPr>
                <w:rFonts w:ascii="Times New Roman" w:hAnsi="Times New Roman" w:cs="Times New Roman"/>
                <w:spacing w:val="-1"/>
              </w:rPr>
              <w:t>不同程度的扰动，并对区域内土地利用产生一定影响。</w:t>
            </w:r>
          </w:p>
          <w:p w14:paraId="2A57A743">
            <w:pPr>
              <w:pStyle w:val="30"/>
              <w:keepNext w:val="0"/>
              <w:keepLines w:val="0"/>
              <w:numPr>
                <w:ilvl w:val="0"/>
                <w:numId w:val="8"/>
              </w:numPr>
              <w:suppressLineNumbers w:val="0"/>
              <w:spacing w:before="34" w:beforeAutospacing="0" w:after="0" w:afterAutospacing="0" w:line="360" w:lineRule="auto"/>
              <w:ind w:left="0" w:right="0"/>
              <w:rPr>
                <w:rFonts w:ascii="Times New Roman" w:hAnsi="Times New Roman" w:cs="Times New Roman"/>
                <w:spacing w:val="-3"/>
              </w:rPr>
            </w:pPr>
            <w:r>
              <w:rPr>
                <w:rFonts w:ascii="Times New Roman" w:hAnsi="Times New Roman" w:cs="Times New Roman"/>
                <w:spacing w:val="-3"/>
              </w:rPr>
              <w:t>永久占地</w:t>
            </w:r>
          </w:p>
          <w:p w14:paraId="024EB88E">
            <w:pPr>
              <w:pStyle w:val="30"/>
              <w:keepNext w:val="0"/>
              <w:keepLines w:val="0"/>
              <w:suppressLineNumbers w:val="0"/>
              <w:spacing w:before="34" w:beforeAutospacing="0" w:after="0" w:afterAutospacing="0" w:line="360" w:lineRule="auto"/>
              <w:ind w:left="0" w:right="0" w:firstLine="472" w:firstLineChars="200"/>
              <w:rPr>
                <w:rFonts w:ascii="Times New Roman" w:hAnsi="Times New Roman" w:cs="Times New Roman"/>
                <w:lang w:eastAsia="zh-CN"/>
              </w:rPr>
            </w:pPr>
            <w:r>
              <w:rPr>
                <w:rFonts w:ascii="Times New Roman" w:hAnsi="Times New Roman" w:cs="Times New Roman"/>
                <w:spacing w:val="-2"/>
              </w:rPr>
              <w:t>本项目输电线路共立杆塔</w:t>
            </w:r>
            <w:r>
              <w:rPr>
                <w:rFonts w:ascii="Times New Roman" w:hAnsi="Times New Roman" w:cs="Times New Roman"/>
                <w:spacing w:val="-2"/>
                <w:lang w:eastAsia="zh-CN"/>
              </w:rPr>
              <w:t>24</w:t>
            </w:r>
            <w:r>
              <w:rPr>
                <w:rFonts w:ascii="Times New Roman" w:hAnsi="Times New Roman" w:cs="Times New Roman"/>
                <w:spacing w:val="-2"/>
              </w:rPr>
              <w:t>基，杆塔基座永久占地面积约</w:t>
            </w:r>
            <w:r>
              <w:rPr>
                <w:rFonts w:ascii="Times New Roman" w:hAnsi="Times New Roman" w:cs="Times New Roman"/>
                <w:spacing w:val="-2"/>
                <w:lang w:eastAsia="zh-CN"/>
              </w:rPr>
              <w:t>3621</w:t>
            </w:r>
            <w:r>
              <w:rPr>
                <w:rFonts w:hint="eastAsia" w:ascii="Times New Roman" w:hAnsi="Times New Roman" w:cs="Times New Roman"/>
                <w:spacing w:val="-2"/>
                <w:lang w:eastAsia="zh-CN"/>
              </w:rPr>
              <w:t>m</w:t>
            </w:r>
            <w:r>
              <w:rPr>
                <w:rFonts w:hint="eastAsia" w:ascii="Times New Roman" w:hAnsi="Times New Roman" w:cs="Times New Roman"/>
                <w:spacing w:val="-2"/>
                <w:vertAlign w:val="superscript"/>
                <w:lang w:eastAsia="zh-CN"/>
              </w:rPr>
              <w:t>2</w:t>
            </w:r>
            <w:r>
              <w:rPr>
                <w:rFonts w:ascii="Times New Roman" w:hAnsi="Times New Roman" w:cs="Times New Roman"/>
                <w:spacing w:val="-2"/>
                <w:lang w:eastAsia="zh-CN"/>
              </w:rPr>
              <w:t>，</w:t>
            </w:r>
            <w:r>
              <w:rPr>
                <w:rFonts w:ascii="Times New Roman" w:hAnsi="Times New Roman" w:cs="Times New Roman"/>
                <w:spacing w:val="-3"/>
              </w:rPr>
              <w:t>永久占地将使地表全部破坏，原地表</w:t>
            </w:r>
            <w:r>
              <w:rPr>
                <w:rFonts w:ascii="Times New Roman" w:hAnsi="Times New Roman" w:cs="Times New Roman"/>
                <w:spacing w:val="-4"/>
              </w:rPr>
              <w:t>土壤生态系统发生</w:t>
            </w:r>
            <w:r>
              <w:rPr>
                <w:rFonts w:ascii="Times New Roman" w:hAnsi="Times New Roman" w:cs="Times New Roman"/>
                <w:spacing w:val="-2"/>
              </w:rPr>
              <w:t>不可逆转变。项目升压站占地面积</w:t>
            </w:r>
            <w:r>
              <w:rPr>
                <w:rFonts w:ascii="Times New Roman" w:hAnsi="Times New Roman" w:cs="Times New Roman"/>
                <w:color w:val="000000" w:themeColor="text1"/>
                <w:spacing w:val="-2"/>
                <w:lang w:eastAsia="zh-CN"/>
              </w:rPr>
              <w:t>为</w:t>
            </w:r>
            <w:r>
              <w:rPr>
                <w:rFonts w:hint="eastAsia" w:ascii="Times New Roman" w:hAnsi="Times New Roman" w:cs="Times New Roman"/>
                <w:color w:val="000000" w:themeColor="text1"/>
                <w:spacing w:val="-2"/>
                <w:lang w:eastAsia="zh-CN"/>
              </w:rPr>
              <w:t>22513m</w:t>
            </w:r>
            <w:r>
              <w:rPr>
                <w:rFonts w:hint="eastAsia" w:ascii="Times New Roman" w:hAnsi="Times New Roman" w:cs="Times New Roman"/>
                <w:color w:val="000000" w:themeColor="text1"/>
                <w:spacing w:val="-2"/>
                <w:vertAlign w:val="superscript"/>
                <w:lang w:eastAsia="zh-CN"/>
              </w:rPr>
              <w:t>2</w:t>
            </w:r>
            <w:r>
              <w:rPr>
                <w:rFonts w:ascii="Times New Roman" w:hAnsi="Times New Roman" w:cs="Times New Roman"/>
                <w:color w:val="000000" w:themeColor="text1"/>
                <w:spacing w:val="-2"/>
                <w:lang w:eastAsia="zh-CN"/>
              </w:rPr>
              <w:t>，</w:t>
            </w:r>
            <w:r>
              <w:rPr>
                <w:rFonts w:hint="eastAsia" w:ascii="Times New Roman" w:hAnsi="Times New Roman" w:cs="Times New Roman"/>
                <w:color w:val="000000" w:themeColor="text1"/>
                <w:spacing w:val="-3"/>
                <w:lang w:eastAsia="zh-CN"/>
              </w:rPr>
              <w:t>库米什220kV变电站扩建间隔占地面积2310</w:t>
            </w:r>
            <w:r>
              <w:rPr>
                <w:rFonts w:hint="eastAsia" w:ascii="Times New Roman" w:hAnsi="Times New Roman" w:cs="Times New Roman"/>
                <w:color w:val="000000" w:themeColor="text1"/>
                <w:spacing w:val="-2"/>
                <w:lang w:eastAsia="zh-CN"/>
              </w:rPr>
              <w:t xml:space="preserve"> m</w:t>
            </w:r>
            <w:r>
              <w:rPr>
                <w:rFonts w:hint="eastAsia" w:ascii="Times New Roman" w:hAnsi="Times New Roman" w:cs="Times New Roman"/>
                <w:color w:val="000000" w:themeColor="text1"/>
                <w:spacing w:val="-2"/>
                <w:vertAlign w:val="superscript"/>
                <w:lang w:eastAsia="zh-CN"/>
              </w:rPr>
              <w:t>2</w:t>
            </w:r>
            <w:r>
              <w:rPr>
                <w:rFonts w:ascii="Times New Roman" w:hAnsi="Times New Roman" w:cs="Times New Roman"/>
                <w:color w:val="000000" w:themeColor="text1"/>
                <w:spacing w:val="-2"/>
              </w:rPr>
              <w:t>，</w:t>
            </w:r>
            <w:r>
              <w:rPr>
                <w:rFonts w:ascii="Times New Roman" w:hAnsi="Times New Roman" w:cs="Times New Roman"/>
                <w:spacing w:val="-2"/>
              </w:rPr>
              <w:t>不会使区域内各土地利用类型面积大幅度降低</w:t>
            </w:r>
            <w:r>
              <w:rPr>
                <w:rFonts w:ascii="Times New Roman" w:hAnsi="Times New Roman" w:cs="Times New Roman"/>
                <w:spacing w:val="-2"/>
                <w:lang w:eastAsia="zh-CN"/>
              </w:rPr>
              <w:t>。</w:t>
            </w:r>
          </w:p>
          <w:p w14:paraId="14FC6603">
            <w:pPr>
              <w:pStyle w:val="30"/>
              <w:keepNext w:val="0"/>
              <w:keepLines w:val="0"/>
              <w:numPr>
                <w:ilvl w:val="0"/>
                <w:numId w:val="8"/>
              </w:numPr>
              <w:suppressLineNumbers w:val="0"/>
              <w:spacing w:before="34" w:beforeAutospacing="0" w:after="0" w:afterAutospacing="0" w:line="360" w:lineRule="auto"/>
              <w:ind w:left="0" w:right="0"/>
              <w:rPr>
                <w:rFonts w:ascii="Times New Roman" w:hAnsi="Times New Roman" w:cs="Times New Roman"/>
                <w:spacing w:val="-3"/>
              </w:rPr>
            </w:pPr>
            <w:r>
              <w:rPr>
                <w:rFonts w:ascii="Times New Roman" w:hAnsi="Times New Roman" w:cs="Times New Roman"/>
                <w:spacing w:val="-3"/>
              </w:rPr>
              <w:t>临时占地</w:t>
            </w:r>
          </w:p>
          <w:p w14:paraId="25F28B12">
            <w:pPr>
              <w:pStyle w:val="30"/>
              <w:keepNext w:val="0"/>
              <w:keepLines w:val="0"/>
              <w:suppressLineNumbers w:val="0"/>
              <w:spacing w:before="34" w:beforeAutospacing="0" w:after="0" w:afterAutospacing="0" w:line="360" w:lineRule="auto"/>
              <w:ind w:left="0" w:right="0" w:firstLine="472" w:firstLineChars="200"/>
              <w:rPr>
                <w:rFonts w:ascii="Times New Roman" w:hAnsi="Times New Roman" w:cs="Times New Roman"/>
              </w:rPr>
            </w:pPr>
            <w:r>
              <w:rPr>
                <w:rFonts w:ascii="Times New Roman" w:hAnsi="Times New Roman" w:cs="Times New Roman"/>
                <w:spacing w:val="-2"/>
                <w:lang w:eastAsia="zh-CN"/>
              </w:rPr>
              <w:t>本项目</w:t>
            </w:r>
            <w:r>
              <w:rPr>
                <w:rFonts w:hint="eastAsia" w:ascii="Times New Roman" w:hAnsi="Times New Roman" w:cs="Times New Roman"/>
                <w:spacing w:val="-2"/>
                <w:lang w:eastAsia="zh-CN"/>
              </w:rPr>
              <w:t>施工临建场地</w:t>
            </w:r>
            <w:r>
              <w:rPr>
                <w:rFonts w:ascii="Times New Roman" w:hAnsi="Times New Roman" w:cs="Times New Roman"/>
                <w:spacing w:val="-2"/>
                <w:lang w:eastAsia="zh-CN"/>
              </w:rPr>
              <w:t>面积5000</w:t>
            </w:r>
            <w:r>
              <w:rPr>
                <w:rFonts w:hint="eastAsia" w:ascii="Times New Roman" w:hAnsi="Times New Roman" w:cs="Times New Roman"/>
                <w:spacing w:val="-2"/>
                <w:lang w:eastAsia="zh-CN"/>
              </w:rPr>
              <w:t xml:space="preserve"> m</w:t>
            </w:r>
            <w:r>
              <w:rPr>
                <w:rFonts w:hint="eastAsia" w:ascii="Times New Roman" w:hAnsi="Times New Roman" w:cs="Times New Roman"/>
                <w:spacing w:val="-2"/>
                <w:vertAlign w:val="superscript"/>
                <w:lang w:eastAsia="zh-CN"/>
              </w:rPr>
              <w:t>2</w:t>
            </w:r>
            <w:r>
              <w:rPr>
                <w:rFonts w:ascii="Times New Roman" w:hAnsi="Times New Roman" w:cs="Times New Roman"/>
                <w:spacing w:val="-2"/>
                <w:lang w:eastAsia="zh-CN"/>
              </w:rPr>
              <w:t>，</w:t>
            </w:r>
            <w:r>
              <w:rPr>
                <w:rFonts w:hint="eastAsia" w:ascii="Times New Roman" w:hAnsi="Times New Roman" w:cs="Times New Roman"/>
                <w:spacing w:val="-2"/>
                <w:lang w:eastAsia="zh-CN"/>
              </w:rPr>
              <w:t>施工临建场地</w:t>
            </w:r>
            <w:r>
              <w:rPr>
                <w:rFonts w:ascii="Times New Roman" w:hAnsi="Times New Roman" w:cs="Times New Roman"/>
                <w:spacing w:val="-2"/>
                <w:lang w:eastAsia="zh-CN"/>
              </w:rPr>
              <w:t>包括施工生活区和施工生产区占地。</w:t>
            </w:r>
            <w:r>
              <w:rPr>
                <w:rFonts w:ascii="Times New Roman" w:hAnsi="Times New Roman" w:cs="Times New Roman"/>
                <w:spacing w:val="-1"/>
              </w:rPr>
              <w:t>输电线路临时占地包括：牵张场、施工道路占地。</w:t>
            </w:r>
            <w:r>
              <w:rPr>
                <w:rFonts w:ascii="Times New Roman" w:hAnsi="Times New Roman" w:cs="Times New Roman"/>
                <w:spacing w:val="-2"/>
              </w:rPr>
              <w:t>输电线路</w:t>
            </w:r>
            <w:r>
              <w:rPr>
                <w:rFonts w:ascii="Times New Roman" w:hAnsi="Times New Roman" w:cs="Times New Roman"/>
                <w:spacing w:val="-1"/>
              </w:rPr>
              <w:t>牵张场</w:t>
            </w:r>
            <w:r>
              <w:rPr>
                <w:rFonts w:ascii="Times New Roman" w:hAnsi="Times New Roman" w:cs="Times New Roman"/>
                <w:spacing w:val="-2"/>
              </w:rPr>
              <w:t>临时占地约</w:t>
            </w:r>
            <w:r>
              <w:rPr>
                <w:rFonts w:ascii="Times New Roman" w:hAnsi="Times New Roman" w:cs="Times New Roman"/>
                <w:spacing w:val="-2"/>
                <w:lang w:eastAsia="zh-CN"/>
              </w:rPr>
              <w:t>16800</w:t>
            </w:r>
            <w:r>
              <w:rPr>
                <w:rFonts w:hint="eastAsia" w:ascii="Times New Roman" w:hAnsi="Times New Roman" w:cs="Times New Roman"/>
                <w:spacing w:val="-2"/>
                <w:lang w:eastAsia="zh-CN"/>
              </w:rPr>
              <w:t xml:space="preserve"> m</w:t>
            </w:r>
            <w:r>
              <w:rPr>
                <w:rFonts w:hint="eastAsia" w:ascii="Times New Roman" w:hAnsi="Times New Roman" w:cs="Times New Roman"/>
                <w:spacing w:val="-2"/>
                <w:vertAlign w:val="superscript"/>
                <w:lang w:eastAsia="zh-CN"/>
              </w:rPr>
              <w:t>2</w:t>
            </w:r>
            <w:r>
              <w:rPr>
                <w:rFonts w:ascii="Times New Roman" w:hAnsi="Times New Roman" w:cs="Times New Roman"/>
                <w:spacing w:val="-2"/>
              </w:rPr>
              <w:t>，</w:t>
            </w:r>
            <w:r>
              <w:rPr>
                <w:rFonts w:ascii="Times New Roman" w:hAnsi="Times New Roman" w:cs="Times New Roman"/>
                <w:spacing w:val="-2"/>
                <w:lang w:eastAsia="zh-CN"/>
              </w:rPr>
              <w:t>施工道路占地约70000</w:t>
            </w:r>
            <w:r>
              <w:rPr>
                <w:rFonts w:hint="eastAsia" w:ascii="Times New Roman" w:hAnsi="Times New Roman" w:cs="Times New Roman"/>
                <w:spacing w:val="-2"/>
                <w:lang w:eastAsia="zh-CN"/>
              </w:rPr>
              <w:t xml:space="preserve"> m</w:t>
            </w:r>
            <w:r>
              <w:rPr>
                <w:rFonts w:hint="eastAsia" w:ascii="Times New Roman" w:hAnsi="Times New Roman" w:cs="Times New Roman"/>
                <w:spacing w:val="-2"/>
                <w:vertAlign w:val="superscript"/>
                <w:lang w:eastAsia="zh-CN"/>
              </w:rPr>
              <w:t>2</w:t>
            </w:r>
            <w:r>
              <w:rPr>
                <w:rFonts w:ascii="Times New Roman" w:hAnsi="Times New Roman" w:cs="Times New Roman"/>
                <w:spacing w:val="-2"/>
                <w:lang w:eastAsia="zh-CN"/>
              </w:rPr>
              <w:t>，土地利用类型为戈壁</w:t>
            </w:r>
            <w:r>
              <w:rPr>
                <w:rFonts w:ascii="Times New Roman" w:hAnsi="Times New Roman" w:cs="Times New Roman"/>
                <w:spacing w:val="-2"/>
              </w:rPr>
              <w:t>。</w:t>
            </w:r>
            <w:r>
              <w:rPr>
                <w:rFonts w:ascii="Times New Roman" w:hAnsi="Times New Roman" w:cs="Times New Roman"/>
                <w:spacing w:val="-3"/>
              </w:rPr>
              <w:t>临时占地在</w:t>
            </w:r>
            <w:r>
              <w:rPr>
                <w:rFonts w:ascii="Times New Roman" w:hAnsi="Times New Roman" w:cs="Times New Roman"/>
                <w:spacing w:val="-4"/>
              </w:rPr>
              <w:t>施工</w:t>
            </w:r>
            <w:r>
              <w:rPr>
                <w:rFonts w:ascii="Times New Roman" w:hAnsi="Times New Roman" w:cs="Times New Roman"/>
                <w:spacing w:val="-3"/>
              </w:rPr>
              <w:t>结束后会及时进行表土回覆和土地整治，植被自然恢复，生物</w:t>
            </w:r>
            <w:r>
              <w:rPr>
                <w:rFonts w:ascii="Times New Roman" w:hAnsi="Times New Roman" w:cs="Times New Roman"/>
                <w:spacing w:val="-4"/>
              </w:rPr>
              <w:t>量损失也可</w:t>
            </w:r>
            <w:r>
              <w:rPr>
                <w:rFonts w:ascii="Times New Roman" w:hAnsi="Times New Roman" w:cs="Times New Roman"/>
                <w:spacing w:val="-8"/>
              </w:rPr>
              <w:t>得到恢复，各类临时占地可逐步恢复原貌。施工期主要采取尽量减少占地、</w:t>
            </w:r>
            <w:r>
              <w:rPr>
                <w:rFonts w:ascii="Times New Roman" w:hAnsi="Times New Roman" w:cs="Times New Roman"/>
                <w:spacing w:val="-3"/>
              </w:rPr>
              <w:t>控制施工范围、减少扰动面积、减少地表</w:t>
            </w:r>
            <w:r>
              <w:rPr>
                <w:rFonts w:ascii="Times New Roman" w:hAnsi="Times New Roman" w:cs="Times New Roman"/>
                <w:spacing w:val="-4"/>
              </w:rPr>
              <w:t>开挖裸露时</w:t>
            </w:r>
            <w:r>
              <w:rPr>
                <w:rFonts w:ascii="Times New Roman" w:hAnsi="Times New Roman" w:cs="Times New Roman"/>
                <w:spacing w:val="-8"/>
              </w:rPr>
              <w:t>间、避开雨季施工等生态防护措施，以减少本项目施工对生态环境的影响。</w:t>
            </w:r>
          </w:p>
          <w:p w14:paraId="5DC7595B">
            <w:pPr>
              <w:pStyle w:val="30"/>
              <w:keepNext w:val="0"/>
              <w:keepLines w:val="0"/>
              <w:suppressLineNumbers w:val="0"/>
              <w:spacing w:before="33" w:beforeAutospacing="0" w:after="0" w:afterAutospacing="0" w:line="363" w:lineRule="auto"/>
              <w:ind w:left="108" w:right="101" w:firstLine="480"/>
              <w:rPr>
                <w:rFonts w:ascii="Times New Roman" w:hAnsi="Times New Roman" w:cs="Times New Roman"/>
                <w:spacing w:val="-2"/>
              </w:rPr>
            </w:pPr>
            <w:r>
              <w:rPr>
                <w:rFonts w:ascii="Times New Roman" w:hAnsi="Times New Roman" w:cs="Times New Roman"/>
                <w:spacing w:val="-4"/>
              </w:rPr>
              <w:t>本项目</w:t>
            </w:r>
            <w:r>
              <w:rPr>
                <w:rFonts w:ascii="Times New Roman" w:hAnsi="Times New Roman" w:cs="Times New Roman"/>
                <w:lang w:eastAsia="zh-CN"/>
              </w:rPr>
              <w:t>施工生活区和施工生产区</w:t>
            </w:r>
            <w:r>
              <w:rPr>
                <w:rFonts w:ascii="Times New Roman" w:hAnsi="Times New Roman" w:cs="Times New Roman"/>
              </w:rPr>
              <w:t>使土地原本的利用形式发生临时性改变，压占、破坏了场地内原有土地类型，暂时影响这些土地的原有功能，施工结束后，经采取恢复措施后，</w:t>
            </w:r>
            <w:r>
              <w:rPr>
                <w:rFonts w:ascii="Times New Roman" w:hAnsi="Times New Roman" w:cs="Times New Roman"/>
                <w:bCs/>
              </w:rPr>
              <w:t>临时用地</w:t>
            </w:r>
            <w:r>
              <w:rPr>
                <w:rFonts w:ascii="Times New Roman" w:hAnsi="Times New Roman" w:cs="Times New Roman"/>
              </w:rPr>
              <w:t>一般在</w:t>
            </w:r>
            <w:r>
              <w:rPr>
                <w:rFonts w:ascii="Times New Roman" w:hAnsi="Times New Roman" w:cs="Times New Roman"/>
                <w:lang w:eastAsia="zh-CN"/>
              </w:rPr>
              <w:t>2</w:t>
            </w:r>
            <w:r>
              <w:rPr>
                <w:rFonts w:hint="eastAsia" w:ascii="Times New Roman" w:hAnsi="Times New Roman" w:cs="Times New Roman"/>
                <w:lang w:eastAsia="zh-CN"/>
              </w:rPr>
              <w:t>~</w:t>
            </w:r>
            <w:r>
              <w:rPr>
                <w:rFonts w:ascii="Times New Roman" w:hAnsi="Times New Roman" w:cs="Times New Roman"/>
                <w:lang w:eastAsia="zh-CN"/>
              </w:rPr>
              <w:t>3</w:t>
            </w:r>
            <w:r>
              <w:rPr>
                <w:rFonts w:ascii="Times New Roman" w:hAnsi="Times New Roman" w:cs="Times New Roman"/>
              </w:rPr>
              <w:t>年内基本可恢复原有土地利用功能。</w:t>
            </w:r>
            <w:r>
              <w:rPr>
                <w:rFonts w:ascii="Times New Roman" w:hAnsi="Times New Roman" w:cs="Times New Roman"/>
                <w:lang w:eastAsia="zh-CN"/>
              </w:rPr>
              <w:t>输电线路的</w:t>
            </w:r>
            <w:r>
              <w:rPr>
                <w:rFonts w:ascii="Times New Roman" w:hAnsi="Times New Roman" w:cs="Times New Roman"/>
                <w:spacing w:val="-4"/>
              </w:rPr>
              <w:t>临时占地较为分散，不存在集中大量占用土地的情况，对生态</w:t>
            </w:r>
            <w:r>
              <w:rPr>
                <w:rFonts w:ascii="Times New Roman" w:hAnsi="Times New Roman" w:cs="Times New Roman"/>
                <w:spacing w:val="-3"/>
              </w:rPr>
              <w:t>环境的影响较小，并且临时占地在施工完成后会及时进行表</w:t>
            </w:r>
            <w:r>
              <w:rPr>
                <w:rFonts w:ascii="Times New Roman" w:hAnsi="Times New Roman" w:cs="Times New Roman"/>
                <w:spacing w:val="-4"/>
              </w:rPr>
              <w:t>土回覆和土地</w:t>
            </w:r>
            <w:r>
              <w:rPr>
                <w:rFonts w:ascii="Times New Roman" w:hAnsi="Times New Roman" w:cs="Times New Roman"/>
                <w:spacing w:val="-3"/>
              </w:rPr>
              <w:t>整治；落实上述措施后，本项目建设对当地土地利用影响不</w:t>
            </w:r>
            <w:r>
              <w:rPr>
                <w:rFonts w:ascii="Times New Roman" w:hAnsi="Times New Roman" w:cs="Times New Roman"/>
                <w:spacing w:val="-4"/>
              </w:rPr>
              <w:t>大，不会造成</w:t>
            </w:r>
            <w:r>
              <w:rPr>
                <w:rFonts w:ascii="Times New Roman" w:hAnsi="Times New Roman" w:cs="Times New Roman"/>
                <w:spacing w:val="-2"/>
              </w:rPr>
              <w:t>土地生产力下降。</w:t>
            </w:r>
          </w:p>
          <w:p w14:paraId="2E9888CC">
            <w:pPr>
              <w:pStyle w:val="30"/>
              <w:keepNext w:val="0"/>
              <w:keepLines w:val="0"/>
              <w:suppressLineNumbers w:val="0"/>
              <w:spacing w:before="34" w:beforeAutospacing="0" w:after="0" w:afterAutospacing="0" w:line="360" w:lineRule="auto"/>
              <w:ind w:left="0" w:right="0"/>
              <w:rPr>
                <w:rFonts w:ascii="Times New Roman" w:hAnsi="Times New Roman" w:cs="Times New Roman"/>
                <w:spacing w:val="-2"/>
              </w:rPr>
            </w:pPr>
            <w:r>
              <w:rPr>
                <w:rFonts w:ascii="Times New Roman" w:hAnsi="Times New Roman" w:eastAsia="Times New Roman" w:cs="Times New Roman"/>
                <w:b/>
                <w:bCs/>
                <w:spacing w:val="-3"/>
              </w:rPr>
              <w:t>1.</w:t>
            </w:r>
            <w:r>
              <w:rPr>
                <w:rFonts w:ascii="Times New Roman" w:hAnsi="Times New Roman" w:cs="Times New Roman"/>
                <w:b/>
                <w:bCs/>
                <w:spacing w:val="-3"/>
                <w:lang w:eastAsia="zh-CN"/>
              </w:rPr>
              <w:t>2</w:t>
            </w:r>
            <w:r>
              <w:rPr>
                <w:rFonts w:ascii="Times New Roman" w:hAnsi="Times New Roman" w:cs="Times New Roman"/>
                <w:b/>
                <w:bCs/>
                <w:spacing w:val="-3"/>
              </w:rPr>
              <w:t>对</w:t>
            </w:r>
            <w:r>
              <w:rPr>
                <w:rFonts w:ascii="Times New Roman" w:hAnsi="Times New Roman" w:cs="Times New Roman"/>
                <w:b/>
                <w:bCs/>
                <w:spacing w:val="-3"/>
                <w:lang w:eastAsia="zh-CN"/>
              </w:rPr>
              <w:t>动植物的生态</w:t>
            </w:r>
            <w:r>
              <w:rPr>
                <w:rFonts w:ascii="Times New Roman" w:hAnsi="Times New Roman" w:cs="Times New Roman"/>
                <w:b/>
                <w:bCs/>
                <w:spacing w:val="-3"/>
              </w:rPr>
              <w:t>影响分析</w:t>
            </w:r>
          </w:p>
          <w:p w14:paraId="2CAEA3C1">
            <w:pPr>
              <w:keepNext w:val="0"/>
              <w:keepLines w:val="0"/>
              <w:widowControl/>
              <w:suppressLineNumbers w:val="0"/>
              <w:spacing w:before="0" w:beforeAutospacing="0" w:after="0" w:afterAutospacing="0" w:line="360" w:lineRule="auto"/>
              <w:ind w:left="0" w:right="0"/>
              <w:jc w:val="left"/>
              <w:rPr>
                <w:rFonts w:eastAsiaTheme="minorEastAsia"/>
                <w:spacing w:val="-3"/>
                <w:sz w:val="24"/>
              </w:rPr>
            </w:pPr>
            <w:r>
              <w:rPr>
                <w:rFonts w:eastAsiaTheme="minorEastAsia"/>
                <w:spacing w:val="-3"/>
                <w:sz w:val="24"/>
              </w:rPr>
              <w:t>（1）永久占地</w:t>
            </w:r>
          </w:p>
          <w:p w14:paraId="650A4072">
            <w:pPr>
              <w:keepNext w:val="0"/>
              <w:keepLines w:val="0"/>
              <w:widowControl/>
              <w:suppressLineNumbers w:val="0"/>
              <w:spacing w:before="0" w:beforeAutospacing="0" w:after="0" w:afterAutospacing="0" w:line="360" w:lineRule="auto"/>
              <w:ind w:left="0" w:right="0" w:firstLine="468" w:firstLineChars="200"/>
              <w:jc w:val="left"/>
              <w:rPr>
                <w:rFonts w:eastAsiaTheme="minorEastAsia"/>
                <w:color w:val="000000" w:themeColor="text1"/>
                <w:spacing w:val="-3"/>
                <w:sz w:val="24"/>
              </w:rPr>
            </w:pPr>
            <w:r>
              <w:rPr>
                <w:rFonts w:eastAsiaTheme="minorEastAsia"/>
                <w:spacing w:val="-3"/>
                <w:sz w:val="24"/>
              </w:rPr>
              <w:t>永久占地会造成占地范围内的植被永久性消失，减少植被的覆盖面积，引起植被生物量、净生产量损失，本工程输电线路塔基占地仅限于四个支撑脚，每处塔基占地较小，数量有限，本工程土地利用类</w:t>
            </w:r>
            <w:r>
              <w:rPr>
                <w:rFonts w:eastAsiaTheme="minorEastAsia"/>
                <w:color w:val="000000" w:themeColor="text1"/>
                <w:spacing w:val="-3"/>
                <w:sz w:val="24"/>
              </w:rPr>
              <w:t>型为戈壁，本工程永久占地面积约为</w:t>
            </w:r>
            <w:r>
              <w:rPr>
                <w:rFonts w:hint="eastAsia" w:eastAsiaTheme="minorEastAsia"/>
                <w:color w:val="000000" w:themeColor="text1"/>
                <w:spacing w:val="-3"/>
                <w:sz w:val="24"/>
              </w:rPr>
              <w:t>28444</w:t>
            </w:r>
            <w:r>
              <w:rPr>
                <w:rFonts w:hint="eastAsia"/>
                <w:color w:val="000000" w:themeColor="text1"/>
                <w:spacing w:val="-2"/>
              </w:rPr>
              <w:t xml:space="preserve"> m</w:t>
            </w:r>
            <w:r>
              <w:rPr>
                <w:rFonts w:hint="eastAsia"/>
                <w:color w:val="000000" w:themeColor="text1"/>
                <w:spacing w:val="-2"/>
                <w:vertAlign w:val="superscript"/>
              </w:rPr>
              <w:t>2</w:t>
            </w:r>
            <w:r>
              <w:rPr>
                <w:rFonts w:eastAsiaTheme="minorEastAsia"/>
                <w:color w:val="000000" w:themeColor="text1"/>
                <w:spacing w:val="-3"/>
                <w:sz w:val="24"/>
              </w:rPr>
              <w:t>，升压站占地面积为</w:t>
            </w:r>
            <w:r>
              <w:rPr>
                <w:rFonts w:hint="eastAsia" w:eastAsiaTheme="minorEastAsia"/>
                <w:color w:val="000000" w:themeColor="text1"/>
                <w:spacing w:val="-3"/>
                <w:sz w:val="24"/>
              </w:rPr>
              <w:t>22513</w:t>
            </w:r>
            <w:r>
              <w:rPr>
                <w:rFonts w:hint="eastAsia"/>
                <w:color w:val="000000" w:themeColor="text1"/>
                <w:spacing w:val="-2"/>
              </w:rPr>
              <w:t xml:space="preserve"> m</w:t>
            </w:r>
            <w:r>
              <w:rPr>
                <w:rFonts w:hint="eastAsia"/>
                <w:color w:val="000000" w:themeColor="text1"/>
                <w:spacing w:val="-2"/>
                <w:vertAlign w:val="superscript"/>
              </w:rPr>
              <w:t>2</w:t>
            </w:r>
            <w:r>
              <w:rPr>
                <w:rFonts w:hint="eastAsia" w:eastAsiaTheme="minorEastAsia"/>
                <w:color w:val="000000" w:themeColor="text1"/>
                <w:spacing w:val="-3"/>
                <w:sz w:val="24"/>
                <w:lang w:eastAsia="zh-CN"/>
              </w:rPr>
              <w:t>，扩建间隔占地面积为</w:t>
            </w:r>
            <w:r>
              <w:rPr>
                <w:rFonts w:hint="eastAsia" w:eastAsiaTheme="minorEastAsia"/>
                <w:color w:val="000000" w:themeColor="text1"/>
                <w:spacing w:val="-3"/>
                <w:sz w:val="24"/>
                <w:lang w:val="en-US" w:eastAsia="zh-CN"/>
              </w:rPr>
              <w:t>2310m</w:t>
            </w:r>
            <w:r>
              <w:rPr>
                <w:rFonts w:hint="eastAsia" w:eastAsiaTheme="minorEastAsia"/>
                <w:color w:val="000000" w:themeColor="text1"/>
                <w:spacing w:val="-3"/>
                <w:sz w:val="24"/>
                <w:vertAlign w:val="superscript"/>
                <w:lang w:val="en-US" w:eastAsia="zh-CN"/>
              </w:rPr>
              <w:t>2</w:t>
            </w:r>
            <w:r>
              <w:rPr>
                <w:rFonts w:eastAsiaTheme="minorEastAsia"/>
                <w:color w:val="000000" w:themeColor="text1"/>
                <w:spacing w:val="-3"/>
                <w:sz w:val="24"/>
              </w:rPr>
              <w:t>。</w:t>
            </w:r>
          </w:p>
          <w:p w14:paraId="46DF581B">
            <w:pPr>
              <w:keepNext w:val="0"/>
              <w:keepLines w:val="0"/>
              <w:widowControl/>
              <w:suppressLineNumbers w:val="0"/>
              <w:spacing w:before="0" w:beforeAutospacing="0" w:after="0" w:afterAutospacing="0" w:line="360" w:lineRule="auto"/>
              <w:ind w:left="0" w:right="0"/>
              <w:jc w:val="left"/>
              <w:rPr>
                <w:rFonts w:eastAsiaTheme="minorEastAsia"/>
                <w:spacing w:val="-3"/>
                <w:sz w:val="24"/>
              </w:rPr>
            </w:pPr>
            <w:r>
              <w:rPr>
                <w:rFonts w:eastAsiaTheme="minorEastAsia"/>
                <w:spacing w:val="-3"/>
                <w:sz w:val="24"/>
              </w:rPr>
              <w:t>（2）临时占地</w:t>
            </w:r>
          </w:p>
          <w:p w14:paraId="57FBC946">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输电线路塔基施工为点状小面积占地，总体占地面积较小；施工道路、牵张场等临时占地会在占地范围内造成少量植被损失，随着施工活动结束，可得到自然恢复。</w:t>
            </w:r>
          </w:p>
          <w:p w14:paraId="77ECF88D">
            <w:pPr>
              <w:keepNext w:val="0"/>
              <w:keepLines w:val="0"/>
              <w:widowControl/>
              <w:suppressLineNumbers w:val="0"/>
              <w:spacing w:before="0" w:beforeAutospacing="0" w:after="0" w:afterAutospacing="0" w:line="360" w:lineRule="auto"/>
              <w:ind w:left="0" w:right="0"/>
              <w:jc w:val="left"/>
              <w:rPr>
                <w:rFonts w:eastAsiaTheme="minorEastAsia"/>
                <w:spacing w:val="-3"/>
                <w:sz w:val="24"/>
              </w:rPr>
            </w:pPr>
            <w:r>
              <w:rPr>
                <w:rFonts w:eastAsiaTheme="minorEastAsia"/>
                <w:spacing w:val="-3"/>
                <w:sz w:val="24"/>
              </w:rPr>
              <w:t>（3）对植被生态影响</w:t>
            </w:r>
          </w:p>
          <w:p w14:paraId="19BD8890">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由于线路塔基间距较远，建设分段进行，本工程建设会造成植被数量减少，丧失的植被不会影响到植被群落整体的结构和功能，也不会影响沿线生态系统的稳定性，对于植物群落的多样性影响极其有限；植被连续性、生态系统空间结构完整性及生物多样性不会受到明显破坏，在严格按照环保措施进行施工建设的情况下，不会对当地自然生态产生明显影响。</w:t>
            </w:r>
          </w:p>
          <w:p w14:paraId="29C83A3F">
            <w:pPr>
              <w:keepNext w:val="0"/>
              <w:keepLines w:val="0"/>
              <w:widowControl/>
              <w:suppressLineNumbers w:val="0"/>
              <w:spacing w:before="0" w:beforeAutospacing="0" w:after="0" w:afterAutospacing="0" w:line="360" w:lineRule="auto"/>
              <w:ind w:left="0" w:right="0"/>
              <w:jc w:val="left"/>
              <w:rPr>
                <w:rFonts w:eastAsiaTheme="minorEastAsia"/>
                <w:spacing w:val="-3"/>
                <w:sz w:val="24"/>
              </w:rPr>
            </w:pPr>
            <w:r>
              <w:rPr>
                <w:rFonts w:eastAsiaTheme="minorEastAsia"/>
                <w:spacing w:val="-3"/>
                <w:sz w:val="24"/>
              </w:rPr>
              <w:t>（4）对动物生态影响</w:t>
            </w:r>
          </w:p>
          <w:p w14:paraId="372390A8">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本工程线路土地利用类型为戈壁，无大型野生动物踪迹，野生动物以常有物种为主，主要是蜥蜴、老鼠和一些雀类，施工可能会影响或缩小野生动物的栖息空间和生存环境；施工干扰会使野生动物受到惊吓，也将被迫离开施工区周围的栖息地或活动区域。输电线路施工特点是施工点距远、施工范围小、施工时间短、施工人数少、对野生动物的影响较小。</w:t>
            </w:r>
          </w:p>
          <w:p w14:paraId="05654793">
            <w:pPr>
              <w:keepNext w:val="0"/>
              <w:keepLines w:val="0"/>
              <w:suppressLineNumbers w:val="0"/>
              <w:adjustRightInd w:val="0"/>
              <w:snapToGrid w:val="0"/>
              <w:spacing w:before="0" w:beforeAutospacing="0" w:after="0" w:afterAutospacing="0" w:line="360" w:lineRule="auto"/>
              <w:ind w:left="0" w:right="0"/>
              <w:rPr>
                <w:b/>
                <w:bCs/>
                <w:sz w:val="24"/>
              </w:rPr>
            </w:pPr>
            <w:r>
              <w:rPr>
                <w:rFonts w:eastAsiaTheme="minorEastAsia"/>
                <w:b/>
                <w:bCs/>
                <w:spacing w:val="-3"/>
                <w:sz w:val="24"/>
              </w:rPr>
              <w:t>1.3</w:t>
            </w:r>
            <w:r>
              <w:rPr>
                <w:b/>
                <w:bCs/>
                <w:sz w:val="24"/>
              </w:rPr>
              <w:t>土地沙化影响分析</w:t>
            </w:r>
          </w:p>
          <w:p w14:paraId="3A999FD7">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项目建设过程中对原地貌的扰动将降低项目占地范围内的土壤抗侵蚀能力，造成土地沙化；此外，由于项目地处内陆地区，风沙较大，空气干燥，若项目土石方堆存过程中未采取防尘网苫盖、洒水抑尘等措施，地表沙化的土壤及临时堆土遇大风天气易产生严重的扬尘，形成沙尘天气。</w:t>
            </w:r>
          </w:p>
          <w:p w14:paraId="76868805">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项目施工期基坑开挖、场地平整等过程中，对原有地表土壤造成扰动，造成地表原有结构的破坏。此外，在施工过程中，各种施工车辆行驶将使经过的土壤变紧实，严重的经过多次碾压后植物很难再生长，甚至退化为沙地。</w:t>
            </w:r>
          </w:p>
          <w:p w14:paraId="5CAB2815">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上述施工作业过程中，对原地貌的扰动大大降低了项目占地范围内的土壤抗侵蚀能力，若未采取相应的防护措施，遇大风天气，极易加重区域沙尘天气。</w:t>
            </w:r>
          </w:p>
          <w:p w14:paraId="4FE17995">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综上所述，施工期对周围环境有一定影响，采取相应防治措施后对周围环境的影响较小，同时施工期较短，施工结束后，影响即随之消除。</w:t>
            </w:r>
          </w:p>
          <w:p w14:paraId="17A3C0D3">
            <w:pPr>
              <w:keepNext w:val="0"/>
              <w:keepLines w:val="0"/>
              <w:suppressLineNumbers w:val="0"/>
              <w:adjustRightInd w:val="0"/>
              <w:snapToGrid w:val="0"/>
              <w:spacing w:before="0" w:beforeAutospacing="0" w:after="0" w:afterAutospacing="0" w:line="360" w:lineRule="auto"/>
              <w:ind w:left="0" w:right="0"/>
              <w:rPr>
                <w:b/>
                <w:bCs/>
                <w:sz w:val="24"/>
              </w:rPr>
            </w:pPr>
            <w:r>
              <w:rPr>
                <w:b/>
                <w:bCs/>
                <w:sz w:val="24"/>
              </w:rPr>
              <w:t>1.4 水土流失影响分析</w:t>
            </w:r>
          </w:p>
          <w:p w14:paraId="6A8423CA">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项目建设期间，</w:t>
            </w:r>
            <w:r>
              <w:rPr>
                <w:spacing w:val="-4"/>
                <w:sz w:val="24"/>
              </w:rPr>
              <w:t>场地平整、施工生产生活设施修建、施工道路修筑、升压站及站内设备基础建设；输电线路的基坑开挖，施工期铁塔架设、牵张场施工</w:t>
            </w:r>
            <w:r>
              <w:rPr>
                <w:sz w:val="24"/>
              </w:rPr>
              <w:t>等施工活动，将扰动地表，破坏地表形态，损坏植被，导致地表裸露，土层结构破坏，使站区内新增一定量水土流失。水土流失会破坏原有地表结构，降低其水土保持功能，增大原有的风力侵蚀和水力侵蚀强度。本工程可能造成水土流失危害主要表现在以下几方面：</w:t>
            </w:r>
          </w:p>
          <w:p w14:paraId="3FBF4D22">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①升压站及站内设备基础建设，根据施工特点，基础开挖等工程在施工过程中将造成对原地表开挖、扰动和再塑，使地表植被遭到破坏，失去原有固土能力，导致水土流失的发生。</w:t>
            </w:r>
          </w:p>
          <w:p w14:paraId="36C69337">
            <w:pPr>
              <w:keepNext w:val="0"/>
              <w:keepLines w:val="0"/>
              <w:suppressLineNumbers w:val="0"/>
              <w:adjustRightInd w:val="0"/>
              <w:snapToGrid w:val="0"/>
              <w:spacing w:before="0" w:beforeAutospacing="0" w:after="0" w:afterAutospacing="0" w:line="360" w:lineRule="auto"/>
              <w:ind w:left="0" w:right="0" w:firstLine="480" w:firstLineChars="200"/>
            </w:pPr>
            <w:r>
              <w:rPr>
                <w:sz w:val="24"/>
              </w:rPr>
              <w:t>②输电线路施工过程中，会因工程施工道路修建、基坑开挖、施工期铁塔架设等造成一定的水土流失。通常因其破坏原有植被，改变表土结构，挖出的土石方因结构松散，如果开挖期间遭遇暴雨，水土流失量将增大；在施工区域内，因机械设备、车辆等碾压、施工道路修建、基坑开挖、施工期铁塔架设等因素使土地原有植被受到破坏，土壤裸露，易被雨水冲刷，造成水土流失。挖出的土方由机械压实，并用防尘网覆盖，减小风力起尘造成的水土流失，项目区雨量较少，水土流失影响较小；施工道路应有固定路线，不要随意向两边拓展或</w:t>
            </w:r>
            <w:r>
              <w:rPr>
                <w:rFonts w:hint="eastAsia"/>
                <w:sz w:val="24"/>
              </w:rPr>
              <w:t>单独</w:t>
            </w:r>
            <w:r>
              <w:rPr>
                <w:sz w:val="24"/>
              </w:rPr>
              <w:t>开道，减少对土地的破坏、占用。</w:t>
            </w:r>
          </w:p>
          <w:p w14:paraId="3F45D3EA">
            <w:pPr>
              <w:keepNext w:val="0"/>
              <w:keepLines w:val="0"/>
              <w:widowControl/>
              <w:suppressLineNumbers w:val="0"/>
              <w:spacing w:before="0" w:beforeAutospacing="0" w:after="0" w:afterAutospacing="0" w:line="360" w:lineRule="auto"/>
              <w:ind w:left="0" w:right="0"/>
              <w:jc w:val="left"/>
              <w:rPr>
                <w:rFonts w:eastAsiaTheme="minorEastAsia"/>
                <w:b/>
                <w:bCs/>
                <w:spacing w:val="-3"/>
                <w:sz w:val="24"/>
              </w:rPr>
            </w:pPr>
            <w:r>
              <w:rPr>
                <w:rFonts w:hint="eastAsia" w:eastAsiaTheme="minorEastAsia"/>
                <w:b/>
                <w:bCs/>
                <w:spacing w:val="-3"/>
                <w:sz w:val="24"/>
              </w:rPr>
              <w:t>2、</w:t>
            </w:r>
            <w:r>
              <w:rPr>
                <w:rFonts w:eastAsiaTheme="minorEastAsia"/>
                <w:b/>
                <w:bCs/>
                <w:spacing w:val="-3"/>
                <w:sz w:val="24"/>
              </w:rPr>
              <w:t>大气环境影响分析</w:t>
            </w:r>
          </w:p>
          <w:p w14:paraId="4F78FB10">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（1）扬尘</w:t>
            </w:r>
          </w:p>
          <w:p w14:paraId="765031C2">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施工期大气污染源主要是基坑开挖、粉状建筑材料</w:t>
            </w:r>
            <w:r>
              <w:rPr>
                <w:rFonts w:hint="eastAsia" w:eastAsiaTheme="minorEastAsia"/>
                <w:spacing w:val="-3"/>
                <w:sz w:val="24"/>
              </w:rPr>
              <w:t>（</w:t>
            </w:r>
            <w:r>
              <w:rPr>
                <w:rFonts w:eastAsiaTheme="minorEastAsia"/>
                <w:spacing w:val="-3"/>
                <w:sz w:val="24"/>
              </w:rPr>
              <w:t>如水泥、石灰等</w:t>
            </w:r>
            <w:r>
              <w:rPr>
                <w:rFonts w:hint="eastAsia" w:eastAsiaTheme="minorEastAsia"/>
                <w:spacing w:val="-3"/>
                <w:sz w:val="24"/>
              </w:rPr>
              <w:t>）</w:t>
            </w:r>
            <w:r>
              <w:rPr>
                <w:rFonts w:eastAsiaTheme="minorEastAsia"/>
                <w:spacing w:val="-3"/>
                <w:sz w:val="24"/>
              </w:rPr>
              <w:t>的装卸、拉运粉状材料及土石方、施工粉状材料的随意堆放和土方的临时堆存、车辆在道路上行走等过程。施工开挖、车辆运输等产生的粉尘短期内将使局部区域空气中的TSP明显增加。输电线路属线性工程，由于开挖工程量较小，点分散，施工时间较短，因此影响区域较小，对周围环境影响较小且很快能恢复。在戈壁施工区由于布置分散，污染源源强小，且是间歇性和流动性的，加之施工区地形开阔，当地风速也较大，地形及气象条件有利于污染物的扩散。</w:t>
            </w:r>
          </w:p>
          <w:p w14:paraId="3193D0AB">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（2）汽车尾气</w:t>
            </w:r>
          </w:p>
          <w:p w14:paraId="5F9DABE8">
            <w:pPr>
              <w:keepNext w:val="0"/>
              <w:keepLines w:val="0"/>
              <w:widowControl/>
              <w:suppressLineNumbers w:val="0"/>
              <w:spacing w:before="0" w:beforeAutospacing="0" w:after="0" w:afterAutospacing="0" w:line="360" w:lineRule="auto"/>
              <w:ind w:left="0" w:right="0" w:firstLine="468" w:firstLineChars="200"/>
              <w:jc w:val="left"/>
              <w:rPr>
                <w:rFonts w:eastAsiaTheme="minorEastAsia"/>
                <w:spacing w:val="-3"/>
                <w:sz w:val="24"/>
              </w:rPr>
            </w:pPr>
            <w:r>
              <w:rPr>
                <w:rFonts w:eastAsiaTheme="minorEastAsia"/>
                <w:spacing w:val="-3"/>
                <w:sz w:val="24"/>
              </w:rPr>
              <w:t>施工时，特别注意物料运输采用带篷布的汽车运输，可以减少运输途中产生的二次扬尘；牵张放线时控制速度、对牵张场地适当洒水，最大限度地减少线路对地表的扰动可降低起尘量；架空线路塔基施工点的施工量小、而且分散、间距大，使得施工扬尘呈现时间较短、扬尘量少及扬尘范围小的特点，只要在施工过程中落实文明施工的原则，可将施工扬尘对周围环境的影响降到最小。</w:t>
            </w:r>
          </w:p>
          <w:p w14:paraId="28B4AC75">
            <w:pPr>
              <w:keepNext w:val="0"/>
              <w:keepLines w:val="0"/>
              <w:widowControl/>
              <w:suppressLineNumbers w:val="0"/>
              <w:spacing w:before="0" w:beforeAutospacing="0" w:after="0" w:afterAutospacing="0" w:line="360" w:lineRule="auto"/>
              <w:ind w:left="0" w:right="0"/>
              <w:jc w:val="left"/>
              <w:rPr>
                <w:rFonts w:eastAsiaTheme="minorEastAsia"/>
                <w:b/>
                <w:bCs/>
                <w:spacing w:val="-3"/>
                <w:sz w:val="24"/>
              </w:rPr>
            </w:pPr>
            <w:r>
              <w:rPr>
                <w:rFonts w:hint="eastAsia" w:eastAsiaTheme="minorEastAsia"/>
                <w:b/>
                <w:bCs/>
                <w:spacing w:val="-3"/>
                <w:sz w:val="24"/>
              </w:rPr>
              <w:t>3、</w:t>
            </w:r>
            <w:r>
              <w:rPr>
                <w:rFonts w:eastAsiaTheme="minorEastAsia"/>
                <w:b/>
                <w:bCs/>
                <w:spacing w:val="-3"/>
                <w:sz w:val="24"/>
              </w:rPr>
              <w:t>水环境影响分析</w:t>
            </w:r>
          </w:p>
          <w:p w14:paraId="19E4384D">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施工期废水主要为施工人员产生的生活污水、工程废水。</w:t>
            </w:r>
          </w:p>
          <w:p w14:paraId="09EAD914">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（1）生活污水</w:t>
            </w:r>
          </w:p>
          <w:p w14:paraId="32FCC333">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本项目施工人员产生的生活污水污染物成分简单，主要污染物有COD</w:t>
            </w:r>
            <w:r>
              <w:rPr>
                <w:sz w:val="24"/>
                <w:vertAlign w:val="subscript"/>
              </w:rPr>
              <w:t>Cr</w:t>
            </w:r>
            <w:r>
              <w:rPr>
                <w:sz w:val="24"/>
              </w:rPr>
              <w:t>、BOD</w:t>
            </w:r>
            <w:r>
              <w:rPr>
                <w:sz w:val="24"/>
                <w:vertAlign w:val="subscript"/>
              </w:rPr>
              <w:t>5</w:t>
            </w:r>
            <w:r>
              <w:rPr>
                <w:sz w:val="24"/>
              </w:rPr>
              <w:t>、SS、NH</w:t>
            </w:r>
            <w:r>
              <w:rPr>
                <w:sz w:val="24"/>
                <w:vertAlign w:val="subscript"/>
              </w:rPr>
              <w:t>3</w:t>
            </w:r>
            <w:r>
              <w:rPr>
                <w:sz w:val="24"/>
              </w:rPr>
              <w:t>-N等。本项目施工人数以200人计，施工期间，施工人员生活用水按40L/人·d计，经计算施工期用水量为8m</w:t>
            </w:r>
            <w:r>
              <w:rPr>
                <w:sz w:val="24"/>
                <w:vertAlign w:val="superscript"/>
              </w:rPr>
              <w:t>3</w:t>
            </w:r>
            <w:r>
              <w:rPr>
                <w:sz w:val="24"/>
              </w:rPr>
              <w:t>/d，排放系数以0.80计，排放量为6.4m</w:t>
            </w:r>
            <w:r>
              <w:rPr>
                <w:sz w:val="24"/>
                <w:vertAlign w:val="superscript"/>
              </w:rPr>
              <w:t>3</w:t>
            </w:r>
            <w:r>
              <w:rPr>
                <w:sz w:val="24"/>
              </w:rPr>
              <w:t>/d，施工期为6个月</w:t>
            </w:r>
            <w:r>
              <w:rPr>
                <w:rFonts w:hint="eastAsia"/>
                <w:sz w:val="24"/>
              </w:rPr>
              <w:t>，</w:t>
            </w:r>
            <w:r>
              <w:rPr>
                <w:sz w:val="24"/>
              </w:rPr>
              <w:t>则总排放量为1152m</w:t>
            </w:r>
            <w:r>
              <w:rPr>
                <w:sz w:val="24"/>
                <w:vertAlign w:val="superscript"/>
              </w:rPr>
              <w:t>3</w:t>
            </w:r>
            <w:r>
              <w:rPr>
                <w:sz w:val="24"/>
              </w:rPr>
              <w:t>。</w:t>
            </w:r>
          </w:p>
          <w:p w14:paraId="3020B103">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施工期设置移动环保厕所，施工期</w:t>
            </w:r>
            <w:r>
              <w:rPr>
                <w:rFonts w:hint="eastAsia"/>
                <w:sz w:val="24"/>
              </w:rPr>
              <w:t>定期</w:t>
            </w:r>
            <w:r>
              <w:rPr>
                <w:sz w:val="24"/>
              </w:rPr>
              <w:t>清掏，并拉运至托克逊县生活污水处理厂处理。</w:t>
            </w:r>
          </w:p>
          <w:p w14:paraId="40EABCD7">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（2）工程废水</w:t>
            </w:r>
          </w:p>
          <w:p w14:paraId="47FBAE41">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本项目施工使用的是商品混凝土，至于混凝土的保养浇水、砌砖的加湿淋水，废水量不大，且主要集中在施工基础施工混凝土浇筑时段，产生时间也是不连续的。废水多为无机废水，除悬浮物含量较高外，一般不含有毒有害物质，一般产生不了径流，本环评要求施工单位在场地设沉淀池，将场地废水收集沉淀处理后用于泼洒地面降尘。</w:t>
            </w:r>
          </w:p>
          <w:p w14:paraId="70E9C9AA">
            <w:pPr>
              <w:pStyle w:val="30"/>
              <w:keepNext w:val="0"/>
              <w:keepLines w:val="0"/>
              <w:suppressLineNumbers w:val="0"/>
              <w:spacing w:before="1" w:beforeAutospacing="0" w:after="0" w:afterAutospacing="0" w:line="360" w:lineRule="auto"/>
              <w:ind w:left="0" w:right="0"/>
              <w:rPr>
                <w:rFonts w:ascii="Times New Roman" w:hAnsi="Times New Roman" w:cs="Times New Roman"/>
              </w:rPr>
            </w:pPr>
            <w:r>
              <w:rPr>
                <w:rFonts w:hint="eastAsia" w:ascii="Times New Roman" w:hAnsi="Times New Roman" w:cs="Times New Roman"/>
                <w:b/>
                <w:bCs/>
                <w:spacing w:val="-3"/>
                <w:lang w:eastAsia="zh-CN"/>
              </w:rPr>
              <w:t>4、</w:t>
            </w:r>
            <w:r>
              <w:rPr>
                <w:rFonts w:ascii="Times New Roman" w:hAnsi="Times New Roman" w:cs="Times New Roman"/>
                <w:b/>
                <w:bCs/>
                <w:spacing w:val="-3"/>
              </w:rPr>
              <w:t>声环境影响分析</w:t>
            </w:r>
          </w:p>
          <w:p w14:paraId="5BE6528E">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施工期噪声具有临时性、阶段性和不固定性等特点，随着施工的结束，项目对周围环境的影响也会停止，施工期的噪声源主要为施工机械设备作业产生的噪声，这些施工机械及设备中既有固定噪声源又有移动噪声源，多为露天工作，排放的噪声直接辐射到周围的环境中，其传播距离较远，在传播的过程中噪声随距离的增加而衰减。设备噪声距离衰减值见表4-1。</w:t>
            </w:r>
          </w:p>
          <w:p w14:paraId="55EEC263">
            <w:pPr>
              <w:keepNext w:val="0"/>
              <w:keepLines w:val="0"/>
              <w:suppressLineNumbers w:val="0"/>
              <w:spacing w:before="0" w:beforeAutospacing="0" w:after="0" w:afterAutospacing="0"/>
              <w:ind w:left="0" w:right="0"/>
              <w:jc w:val="center"/>
              <w:rPr>
                <w:b/>
                <w:sz w:val="21"/>
                <w:szCs w:val="21"/>
              </w:rPr>
            </w:pPr>
            <w:r>
              <w:rPr>
                <w:b/>
                <w:sz w:val="21"/>
                <w:szCs w:val="21"/>
              </w:rPr>
              <w:t xml:space="preserve">表4-1 </w:t>
            </w:r>
            <w:r>
              <w:rPr>
                <w:rFonts w:hint="eastAsia"/>
                <w:b/>
                <w:sz w:val="21"/>
                <w:szCs w:val="21"/>
                <w:lang w:val="en-US" w:eastAsia="zh-CN"/>
              </w:rPr>
              <w:t xml:space="preserve"> </w:t>
            </w:r>
            <w:r>
              <w:rPr>
                <w:b/>
                <w:sz w:val="21"/>
                <w:szCs w:val="21"/>
              </w:rPr>
              <w:t xml:space="preserve"> 施工机械及设备噪声距离衰减值表 单位：dB(A)</w:t>
            </w:r>
          </w:p>
          <w:tbl>
            <w:tblPr>
              <w:tblStyle w:val="21"/>
              <w:tblW w:w="4962" w:type="pct"/>
              <w:tblInd w:w="1"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1609"/>
              <w:gridCol w:w="851"/>
              <w:gridCol w:w="976"/>
              <w:gridCol w:w="731"/>
              <w:gridCol w:w="974"/>
              <w:gridCol w:w="732"/>
              <w:gridCol w:w="976"/>
              <w:gridCol w:w="1214"/>
            </w:tblGrid>
            <w:tr w14:paraId="5A4543A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998" w:type="pct"/>
                  <w:vAlign w:val="center"/>
                </w:tcPr>
                <w:p w14:paraId="31DF11D8">
                  <w:pPr>
                    <w:pStyle w:val="35"/>
                    <w:keepNext w:val="0"/>
                    <w:keepLines w:val="0"/>
                    <w:suppressLineNumbers w:val="0"/>
                    <w:spacing w:before="0" w:beforeAutospacing="0" w:after="0" w:afterAutospacing="0" w:line="240" w:lineRule="exact"/>
                    <w:ind w:left="0" w:right="0"/>
                    <w:jc w:val="center"/>
                    <w:rPr>
                      <w:szCs w:val="21"/>
                    </w:rPr>
                  </w:pPr>
                  <w:r>
                    <w:rPr>
                      <w:szCs w:val="21"/>
                    </w:rPr>
                    <w:t>距离(m)施工设备</w:t>
                  </w:r>
                </w:p>
              </w:tc>
              <w:tc>
                <w:tcPr>
                  <w:tcW w:w="528" w:type="pct"/>
                  <w:vAlign w:val="center"/>
                </w:tcPr>
                <w:p w14:paraId="22094FBA">
                  <w:pPr>
                    <w:pStyle w:val="35"/>
                    <w:keepNext w:val="0"/>
                    <w:keepLines w:val="0"/>
                    <w:suppressLineNumbers w:val="0"/>
                    <w:spacing w:before="0" w:beforeAutospacing="0" w:after="0" w:afterAutospacing="0" w:line="240" w:lineRule="exact"/>
                    <w:ind w:left="0" w:right="0"/>
                    <w:jc w:val="center"/>
                    <w:rPr>
                      <w:szCs w:val="21"/>
                    </w:rPr>
                  </w:pPr>
                  <w:r>
                    <w:rPr>
                      <w:szCs w:val="21"/>
                    </w:rPr>
                    <w:t>源强</w:t>
                  </w:r>
                </w:p>
              </w:tc>
              <w:tc>
                <w:tcPr>
                  <w:tcW w:w="605" w:type="pct"/>
                  <w:vAlign w:val="center"/>
                </w:tcPr>
                <w:p w14:paraId="07B9AE51">
                  <w:pPr>
                    <w:pStyle w:val="35"/>
                    <w:keepNext w:val="0"/>
                    <w:keepLines w:val="0"/>
                    <w:suppressLineNumbers w:val="0"/>
                    <w:spacing w:before="0" w:beforeAutospacing="0" w:after="0" w:afterAutospacing="0" w:line="240" w:lineRule="exact"/>
                    <w:ind w:left="0" w:right="0"/>
                    <w:jc w:val="center"/>
                    <w:rPr>
                      <w:szCs w:val="21"/>
                    </w:rPr>
                  </w:pPr>
                  <w:r>
                    <w:rPr>
                      <w:szCs w:val="21"/>
                    </w:rPr>
                    <w:t>10</w:t>
                  </w:r>
                </w:p>
              </w:tc>
              <w:tc>
                <w:tcPr>
                  <w:tcW w:w="453" w:type="pct"/>
                  <w:vAlign w:val="center"/>
                </w:tcPr>
                <w:p w14:paraId="324DAC5D">
                  <w:pPr>
                    <w:pStyle w:val="35"/>
                    <w:keepNext w:val="0"/>
                    <w:keepLines w:val="0"/>
                    <w:suppressLineNumbers w:val="0"/>
                    <w:spacing w:before="0" w:beforeAutospacing="0" w:after="0" w:afterAutospacing="0" w:line="240" w:lineRule="exact"/>
                    <w:ind w:left="0" w:right="0"/>
                    <w:jc w:val="center"/>
                    <w:rPr>
                      <w:szCs w:val="21"/>
                    </w:rPr>
                  </w:pPr>
                  <w:r>
                    <w:rPr>
                      <w:szCs w:val="21"/>
                    </w:rPr>
                    <w:t>20</w:t>
                  </w:r>
                </w:p>
              </w:tc>
              <w:tc>
                <w:tcPr>
                  <w:tcW w:w="604" w:type="pct"/>
                  <w:vAlign w:val="center"/>
                </w:tcPr>
                <w:p w14:paraId="6D156708">
                  <w:pPr>
                    <w:pStyle w:val="35"/>
                    <w:keepNext w:val="0"/>
                    <w:keepLines w:val="0"/>
                    <w:suppressLineNumbers w:val="0"/>
                    <w:spacing w:before="0" w:beforeAutospacing="0" w:after="0" w:afterAutospacing="0" w:line="240" w:lineRule="exact"/>
                    <w:ind w:left="0" w:right="0"/>
                    <w:jc w:val="center"/>
                    <w:rPr>
                      <w:szCs w:val="21"/>
                    </w:rPr>
                  </w:pPr>
                  <w:r>
                    <w:rPr>
                      <w:szCs w:val="21"/>
                    </w:rPr>
                    <w:t>40</w:t>
                  </w:r>
                </w:p>
              </w:tc>
              <w:tc>
                <w:tcPr>
                  <w:tcW w:w="454" w:type="pct"/>
                  <w:vAlign w:val="center"/>
                </w:tcPr>
                <w:p w14:paraId="5FB70965">
                  <w:pPr>
                    <w:pStyle w:val="35"/>
                    <w:keepNext w:val="0"/>
                    <w:keepLines w:val="0"/>
                    <w:suppressLineNumbers w:val="0"/>
                    <w:spacing w:before="0" w:beforeAutospacing="0" w:after="0" w:afterAutospacing="0" w:line="240" w:lineRule="exact"/>
                    <w:ind w:left="0" w:right="0"/>
                    <w:jc w:val="center"/>
                    <w:rPr>
                      <w:szCs w:val="21"/>
                    </w:rPr>
                  </w:pPr>
                  <w:r>
                    <w:rPr>
                      <w:szCs w:val="21"/>
                    </w:rPr>
                    <w:t>80</w:t>
                  </w:r>
                </w:p>
              </w:tc>
              <w:tc>
                <w:tcPr>
                  <w:tcW w:w="605" w:type="pct"/>
                  <w:vAlign w:val="center"/>
                </w:tcPr>
                <w:p w14:paraId="79758E41">
                  <w:pPr>
                    <w:pStyle w:val="35"/>
                    <w:keepNext w:val="0"/>
                    <w:keepLines w:val="0"/>
                    <w:suppressLineNumbers w:val="0"/>
                    <w:spacing w:before="0" w:beforeAutospacing="0" w:after="0" w:afterAutospacing="0" w:line="240" w:lineRule="exact"/>
                    <w:ind w:left="0" w:right="0"/>
                    <w:jc w:val="center"/>
                    <w:rPr>
                      <w:szCs w:val="21"/>
                    </w:rPr>
                  </w:pPr>
                  <w:r>
                    <w:rPr>
                      <w:szCs w:val="21"/>
                    </w:rPr>
                    <w:t>160</w:t>
                  </w:r>
                </w:p>
              </w:tc>
              <w:tc>
                <w:tcPr>
                  <w:tcW w:w="753" w:type="pct"/>
                  <w:vAlign w:val="center"/>
                </w:tcPr>
                <w:p w14:paraId="523EB478">
                  <w:pPr>
                    <w:pStyle w:val="35"/>
                    <w:keepNext w:val="0"/>
                    <w:keepLines w:val="0"/>
                    <w:suppressLineNumbers w:val="0"/>
                    <w:spacing w:before="0" w:beforeAutospacing="0" w:after="0" w:afterAutospacing="0" w:line="240" w:lineRule="exact"/>
                    <w:ind w:left="0" w:right="0"/>
                    <w:jc w:val="center"/>
                    <w:rPr>
                      <w:szCs w:val="21"/>
                    </w:rPr>
                  </w:pPr>
                  <w:r>
                    <w:rPr>
                      <w:szCs w:val="21"/>
                    </w:rPr>
                    <w:t>320</w:t>
                  </w:r>
                </w:p>
              </w:tc>
            </w:tr>
            <w:tr w14:paraId="16286E2D">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150" w:hRule="atLeast"/>
              </w:trPr>
              <w:tc>
                <w:tcPr>
                  <w:tcW w:w="998" w:type="pct"/>
                  <w:vAlign w:val="center"/>
                </w:tcPr>
                <w:p w14:paraId="5F271E05">
                  <w:pPr>
                    <w:pStyle w:val="35"/>
                    <w:keepNext w:val="0"/>
                    <w:keepLines w:val="0"/>
                    <w:suppressLineNumbers w:val="0"/>
                    <w:spacing w:before="0" w:beforeAutospacing="0" w:after="0" w:afterAutospacing="0" w:line="240" w:lineRule="exact"/>
                    <w:ind w:left="0" w:right="0"/>
                    <w:jc w:val="center"/>
                    <w:rPr>
                      <w:szCs w:val="21"/>
                    </w:rPr>
                  </w:pPr>
                  <w:r>
                    <w:rPr>
                      <w:szCs w:val="21"/>
                    </w:rPr>
                    <w:t>起重机</w:t>
                  </w:r>
                </w:p>
              </w:tc>
              <w:tc>
                <w:tcPr>
                  <w:tcW w:w="528" w:type="pct"/>
                  <w:vAlign w:val="center"/>
                </w:tcPr>
                <w:p w14:paraId="5CA2B12F">
                  <w:pPr>
                    <w:pStyle w:val="35"/>
                    <w:keepNext w:val="0"/>
                    <w:keepLines w:val="0"/>
                    <w:suppressLineNumbers w:val="0"/>
                    <w:spacing w:before="0" w:beforeAutospacing="0" w:after="0" w:afterAutospacing="0" w:line="240" w:lineRule="exact"/>
                    <w:ind w:left="0" w:right="0"/>
                    <w:jc w:val="center"/>
                    <w:rPr>
                      <w:szCs w:val="21"/>
                    </w:rPr>
                  </w:pPr>
                  <w:r>
                    <w:rPr>
                      <w:szCs w:val="21"/>
                    </w:rPr>
                    <w:t>105</w:t>
                  </w:r>
                </w:p>
              </w:tc>
              <w:tc>
                <w:tcPr>
                  <w:tcW w:w="605" w:type="pct"/>
                  <w:vAlign w:val="center"/>
                </w:tcPr>
                <w:p w14:paraId="59D9EEC8">
                  <w:pPr>
                    <w:pStyle w:val="35"/>
                    <w:keepNext w:val="0"/>
                    <w:keepLines w:val="0"/>
                    <w:suppressLineNumbers w:val="0"/>
                    <w:spacing w:before="0" w:beforeAutospacing="0" w:after="0" w:afterAutospacing="0" w:line="240" w:lineRule="exact"/>
                    <w:ind w:left="0" w:right="0"/>
                    <w:jc w:val="center"/>
                    <w:rPr>
                      <w:szCs w:val="21"/>
                    </w:rPr>
                  </w:pPr>
                  <w:r>
                    <w:rPr>
                      <w:szCs w:val="21"/>
                    </w:rPr>
                    <w:t>85</w:t>
                  </w:r>
                </w:p>
              </w:tc>
              <w:tc>
                <w:tcPr>
                  <w:tcW w:w="453" w:type="pct"/>
                  <w:vAlign w:val="center"/>
                </w:tcPr>
                <w:p w14:paraId="3F6967E9">
                  <w:pPr>
                    <w:pStyle w:val="35"/>
                    <w:keepNext w:val="0"/>
                    <w:keepLines w:val="0"/>
                    <w:suppressLineNumbers w:val="0"/>
                    <w:spacing w:before="0" w:beforeAutospacing="0" w:after="0" w:afterAutospacing="0" w:line="240" w:lineRule="exact"/>
                    <w:ind w:left="0" w:right="0"/>
                    <w:jc w:val="center"/>
                    <w:rPr>
                      <w:szCs w:val="21"/>
                    </w:rPr>
                  </w:pPr>
                  <w:r>
                    <w:rPr>
                      <w:szCs w:val="21"/>
                    </w:rPr>
                    <w:t>79</w:t>
                  </w:r>
                </w:p>
              </w:tc>
              <w:tc>
                <w:tcPr>
                  <w:tcW w:w="604" w:type="pct"/>
                  <w:vAlign w:val="center"/>
                </w:tcPr>
                <w:p w14:paraId="17B3A7C7">
                  <w:pPr>
                    <w:pStyle w:val="35"/>
                    <w:keepNext w:val="0"/>
                    <w:keepLines w:val="0"/>
                    <w:suppressLineNumbers w:val="0"/>
                    <w:spacing w:before="0" w:beforeAutospacing="0" w:after="0" w:afterAutospacing="0" w:line="240" w:lineRule="exact"/>
                    <w:ind w:left="0" w:right="0"/>
                    <w:jc w:val="center"/>
                    <w:rPr>
                      <w:szCs w:val="21"/>
                    </w:rPr>
                  </w:pPr>
                  <w:r>
                    <w:rPr>
                      <w:szCs w:val="21"/>
                    </w:rPr>
                    <w:t>73</w:t>
                  </w:r>
                </w:p>
              </w:tc>
              <w:tc>
                <w:tcPr>
                  <w:tcW w:w="454" w:type="pct"/>
                  <w:vAlign w:val="center"/>
                </w:tcPr>
                <w:p w14:paraId="34EEA3C7">
                  <w:pPr>
                    <w:pStyle w:val="35"/>
                    <w:keepNext w:val="0"/>
                    <w:keepLines w:val="0"/>
                    <w:suppressLineNumbers w:val="0"/>
                    <w:spacing w:before="0" w:beforeAutospacing="0" w:after="0" w:afterAutospacing="0" w:line="240" w:lineRule="exact"/>
                    <w:ind w:left="0" w:right="0"/>
                    <w:jc w:val="center"/>
                    <w:rPr>
                      <w:szCs w:val="21"/>
                    </w:rPr>
                  </w:pPr>
                  <w:r>
                    <w:rPr>
                      <w:szCs w:val="21"/>
                    </w:rPr>
                    <w:t>67</w:t>
                  </w:r>
                </w:p>
              </w:tc>
              <w:tc>
                <w:tcPr>
                  <w:tcW w:w="605" w:type="pct"/>
                  <w:vAlign w:val="center"/>
                </w:tcPr>
                <w:p w14:paraId="535AAD2E">
                  <w:pPr>
                    <w:pStyle w:val="35"/>
                    <w:keepNext w:val="0"/>
                    <w:keepLines w:val="0"/>
                    <w:suppressLineNumbers w:val="0"/>
                    <w:spacing w:before="0" w:beforeAutospacing="0" w:after="0" w:afterAutospacing="0" w:line="240" w:lineRule="exact"/>
                    <w:ind w:left="0" w:right="0"/>
                    <w:jc w:val="center"/>
                    <w:rPr>
                      <w:szCs w:val="21"/>
                    </w:rPr>
                  </w:pPr>
                  <w:r>
                    <w:rPr>
                      <w:szCs w:val="21"/>
                    </w:rPr>
                    <w:t>61</w:t>
                  </w:r>
                </w:p>
              </w:tc>
              <w:tc>
                <w:tcPr>
                  <w:tcW w:w="753" w:type="pct"/>
                  <w:vAlign w:val="center"/>
                </w:tcPr>
                <w:p w14:paraId="55F1655D">
                  <w:pPr>
                    <w:pStyle w:val="35"/>
                    <w:keepNext w:val="0"/>
                    <w:keepLines w:val="0"/>
                    <w:suppressLineNumbers w:val="0"/>
                    <w:spacing w:before="0" w:beforeAutospacing="0" w:after="0" w:afterAutospacing="0" w:line="240" w:lineRule="exact"/>
                    <w:ind w:left="0" w:right="0"/>
                    <w:jc w:val="center"/>
                    <w:rPr>
                      <w:szCs w:val="21"/>
                    </w:rPr>
                  </w:pPr>
                  <w:r>
                    <w:rPr>
                      <w:szCs w:val="21"/>
                    </w:rPr>
                    <w:t>55</w:t>
                  </w:r>
                </w:p>
              </w:tc>
            </w:tr>
            <w:tr w14:paraId="05B33DE9">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182" w:hRule="atLeast"/>
              </w:trPr>
              <w:tc>
                <w:tcPr>
                  <w:tcW w:w="998" w:type="pct"/>
                  <w:vAlign w:val="center"/>
                </w:tcPr>
                <w:p w14:paraId="74FE3C88">
                  <w:pPr>
                    <w:pStyle w:val="35"/>
                    <w:keepNext w:val="0"/>
                    <w:keepLines w:val="0"/>
                    <w:suppressLineNumbers w:val="0"/>
                    <w:spacing w:before="0" w:beforeAutospacing="0" w:after="0" w:afterAutospacing="0" w:line="240" w:lineRule="exact"/>
                    <w:ind w:left="0" w:right="0"/>
                    <w:jc w:val="center"/>
                    <w:rPr>
                      <w:szCs w:val="21"/>
                    </w:rPr>
                  </w:pPr>
                  <w:r>
                    <w:rPr>
                      <w:szCs w:val="21"/>
                    </w:rPr>
                    <w:t>推土机</w:t>
                  </w:r>
                </w:p>
              </w:tc>
              <w:tc>
                <w:tcPr>
                  <w:tcW w:w="528" w:type="pct"/>
                  <w:vAlign w:val="center"/>
                </w:tcPr>
                <w:p w14:paraId="22211944">
                  <w:pPr>
                    <w:pStyle w:val="35"/>
                    <w:keepNext w:val="0"/>
                    <w:keepLines w:val="0"/>
                    <w:suppressLineNumbers w:val="0"/>
                    <w:spacing w:before="0" w:beforeAutospacing="0" w:after="0" w:afterAutospacing="0" w:line="240" w:lineRule="exact"/>
                    <w:ind w:left="0" w:right="0"/>
                    <w:jc w:val="center"/>
                    <w:rPr>
                      <w:szCs w:val="21"/>
                    </w:rPr>
                  </w:pPr>
                  <w:r>
                    <w:rPr>
                      <w:szCs w:val="21"/>
                    </w:rPr>
                    <w:t>105</w:t>
                  </w:r>
                </w:p>
              </w:tc>
              <w:tc>
                <w:tcPr>
                  <w:tcW w:w="605" w:type="pct"/>
                  <w:vAlign w:val="center"/>
                </w:tcPr>
                <w:p w14:paraId="0B85FF8A">
                  <w:pPr>
                    <w:pStyle w:val="35"/>
                    <w:keepNext w:val="0"/>
                    <w:keepLines w:val="0"/>
                    <w:suppressLineNumbers w:val="0"/>
                    <w:spacing w:before="0" w:beforeAutospacing="0" w:after="0" w:afterAutospacing="0" w:line="240" w:lineRule="exact"/>
                    <w:ind w:left="0" w:right="0"/>
                    <w:jc w:val="center"/>
                    <w:rPr>
                      <w:szCs w:val="21"/>
                    </w:rPr>
                  </w:pPr>
                  <w:r>
                    <w:rPr>
                      <w:szCs w:val="21"/>
                    </w:rPr>
                    <w:t>85</w:t>
                  </w:r>
                </w:p>
              </w:tc>
              <w:tc>
                <w:tcPr>
                  <w:tcW w:w="453" w:type="pct"/>
                  <w:vAlign w:val="center"/>
                </w:tcPr>
                <w:p w14:paraId="1C66BFAB">
                  <w:pPr>
                    <w:pStyle w:val="35"/>
                    <w:keepNext w:val="0"/>
                    <w:keepLines w:val="0"/>
                    <w:suppressLineNumbers w:val="0"/>
                    <w:spacing w:before="0" w:beforeAutospacing="0" w:after="0" w:afterAutospacing="0" w:line="240" w:lineRule="exact"/>
                    <w:ind w:left="0" w:right="0"/>
                    <w:jc w:val="center"/>
                    <w:rPr>
                      <w:szCs w:val="21"/>
                    </w:rPr>
                  </w:pPr>
                  <w:r>
                    <w:rPr>
                      <w:szCs w:val="21"/>
                    </w:rPr>
                    <w:t>79</w:t>
                  </w:r>
                </w:p>
              </w:tc>
              <w:tc>
                <w:tcPr>
                  <w:tcW w:w="604" w:type="pct"/>
                  <w:vAlign w:val="center"/>
                </w:tcPr>
                <w:p w14:paraId="1B507D92">
                  <w:pPr>
                    <w:pStyle w:val="35"/>
                    <w:keepNext w:val="0"/>
                    <w:keepLines w:val="0"/>
                    <w:suppressLineNumbers w:val="0"/>
                    <w:spacing w:before="0" w:beforeAutospacing="0" w:after="0" w:afterAutospacing="0" w:line="240" w:lineRule="exact"/>
                    <w:ind w:left="0" w:right="0"/>
                    <w:jc w:val="center"/>
                    <w:rPr>
                      <w:szCs w:val="21"/>
                    </w:rPr>
                  </w:pPr>
                  <w:r>
                    <w:rPr>
                      <w:szCs w:val="21"/>
                    </w:rPr>
                    <w:t>73</w:t>
                  </w:r>
                </w:p>
              </w:tc>
              <w:tc>
                <w:tcPr>
                  <w:tcW w:w="454" w:type="pct"/>
                  <w:vAlign w:val="center"/>
                </w:tcPr>
                <w:p w14:paraId="34FA0250">
                  <w:pPr>
                    <w:pStyle w:val="35"/>
                    <w:keepNext w:val="0"/>
                    <w:keepLines w:val="0"/>
                    <w:suppressLineNumbers w:val="0"/>
                    <w:spacing w:before="0" w:beforeAutospacing="0" w:after="0" w:afterAutospacing="0" w:line="240" w:lineRule="exact"/>
                    <w:ind w:left="0" w:right="0"/>
                    <w:jc w:val="center"/>
                    <w:rPr>
                      <w:szCs w:val="21"/>
                    </w:rPr>
                  </w:pPr>
                  <w:r>
                    <w:rPr>
                      <w:szCs w:val="21"/>
                    </w:rPr>
                    <w:t>67</w:t>
                  </w:r>
                </w:p>
              </w:tc>
              <w:tc>
                <w:tcPr>
                  <w:tcW w:w="605" w:type="pct"/>
                  <w:vAlign w:val="center"/>
                </w:tcPr>
                <w:p w14:paraId="6F463C55">
                  <w:pPr>
                    <w:pStyle w:val="35"/>
                    <w:keepNext w:val="0"/>
                    <w:keepLines w:val="0"/>
                    <w:suppressLineNumbers w:val="0"/>
                    <w:spacing w:before="0" w:beforeAutospacing="0" w:after="0" w:afterAutospacing="0" w:line="240" w:lineRule="exact"/>
                    <w:ind w:left="0" w:right="0"/>
                    <w:jc w:val="center"/>
                    <w:rPr>
                      <w:szCs w:val="21"/>
                    </w:rPr>
                  </w:pPr>
                  <w:r>
                    <w:rPr>
                      <w:szCs w:val="21"/>
                    </w:rPr>
                    <w:t>61</w:t>
                  </w:r>
                </w:p>
              </w:tc>
              <w:tc>
                <w:tcPr>
                  <w:tcW w:w="753" w:type="pct"/>
                  <w:vAlign w:val="center"/>
                </w:tcPr>
                <w:p w14:paraId="4E593F16">
                  <w:pPr>
                    <w:pStyle w:val="35"/>
                    <w:keepNext w:val="0"/>
                    <w:keepLines w:val="0"/>
                    <w:suppressLineNumbers w:val="0"/>
                    <w:spacing w:before="0" w:beforeAutospacing="0" w:after="0" w:afterAutospacing="0" w:line="240" w:lineRule="exact"/>
                    <w:ind w:left="0" w:right="0"/>
                    <w:jc w:val="center"/>
                    <w:rPr>
                      <w:szCs w:val="21"/>
                    </w:rPr>
                  </w:pPr>
                  <w:r>
                    <w:rPr>
                      <w:szCs w:val="21"/>
                    </w:rPr>
                    <w:t>55</w:t>
                  </w:r>
                </w:p>
              </w:tc>
            </w:tr>
            <w:tr w14:paraId="7F2FCFCE">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00" w:hRule="atLeast"/>
              </w:trPr>
              <w:tc>
                <w:tcPr>
                  <w:tcW w:w="998" w:type="pct"/>
                  <w:vAlign w:val="center"/>
                </w:tcPr>
                <w:p w14:paraId="1F06D005">
                  <w:pPr>
                    <w:pStyle w:val="35"/>
                    <w:keepNext w:val="0"/>
                    <w:keepLines w:val="0"/>
                    <w:suppressLineNumbers w:val="0"/>
                    <w:spacing w:before="0" w:beforeAutospacing="0" w:after="0" w:afterAutospacing="0" w:line="240" w:lineRule="exact"/>
                    <w:ind w:left="0" w:right="0"/>
                    <w:jc w:val="center"/>
                    <w:rPr>
                      <w:szCs w:val="21"/>
                    </w:rPr>
                  </w:pPr>
                  <w:r>
                    <w:rPr>
                      <w:szCs w:val="21"/>
                    </w:rPr>
                    <w:t>挖掘机</w:t>
                  </w:r>
                </w:p>
              </w:tc>
              <w:tc>
                <w:tcPr>
                  <w:tcW w:w="528" w:type="pct"/>
                  <w:vAlign w:val="center"/>
                </w:tcPr>
                <w:p w14:paraId="5007E148">
                  <w:pPr>
                    <w:pStyle w:val="35"/>
                    <w:keepNext w:val="0"/>
                    <w:keepLines w:val="0"/>
                    <w:suppressLineNumbers w:val="0"/>
                    <w:spacing w:before="0" w:beforeAutospacing="0" w:after="0" w:afterAutospacing="0" w:line="240" w:lineRule="exact"/>
                    <w:ind w:left="0" w:right="0"/>
                    <w:jc w:val="center"/>
                    <w:rPr>
                      <w:szCs w:val="21"/>
                    </w:rPr>
                  </w:pPr>
                  <w:r>
                    <w:rPr>
                      <w:szCs w:val="21"/>
                    </w:rPr>
                    <w:t>105</w:t>
                  </w:r>
                </w:p>
              </w:tc>
              <w:tc>
                <w:tcPr>
                  <w:tcW w:w="605" w:type="pct"/>
                  <w:vAlign w:val="center"/>
                </w:tcPr>
                <w:p w14:paraId="083DFDEC">
                  <w:pPr>
                    <w:pStyle w:val="35"/>
                    <w:keepNext w:val="0"/>
                    <w:keepLines w:val="0"/>
                    <w:suppressLineNumbers w:val="0"/>
                    <w:spacing w:before="0" w:beforeAutospacing="0" w:after="0" w:afterAutospacing="0" w:line="240" w:lineRule="exact"/>
                    <w:ind w:left="0" w:right="0"/>
                    <w:jc w:val="center"/>
                    <w:rPr>
                      <w:szCs w:val="21"/>
                    </w:rPr>
                  </w:pPr>
                  <w:r>
                    <w:rPr>
                      <w:szCs w:val="21"/>
                    </w:rPr>
                    <w:t>85</w:t>
                  </w:r>
                </w:p>
              </w:tc>
              <w:tc>
                <w:tcPr>
                  <w:tcW w:w="453" w:type="pct"/>
                  <w:vAlign w:val="center"/>
                </w:tcPr>
                <w:p w14:paraId="301167F1">
                  <w:pPr>
                    <w:pStyle w:val="35"/>
                    <w:keepNext w:val="0"/>
                    <w:keepLines w:val="0"/>
                    <w:suppressLineNumbers w:val="0"/>
                    <w:spacing w:before="0" w:beforeAutospacing="0" w:after="0" w:afterAutospacing="0" w:line="240" w:lineRule="exact"/>
                    <w:ind w:left="0" w:right="0"/>
                    <w:jc w:val="center"/>
                    <w:rPr>
                      <w:szCs w:val="21"/>
                    </w:rPr>
                  </w:pPr>
                  <w:r>
                    <w:rPr>
                      <w:szCs w:val="21"/>
                    </w:rPr>
                    <w:t>79</w:t>
                  </w:r>
                </w:p>
              </w:tc>
              <w:tc>
                <w:tcPr>
                  <w:tcW w:w="604" w:type="pct"/>
                  <w:vAlign w:val="center"/>
                </w:tcPr>
                <w:p w14:paraId="51306864">
                  <w:pPr>
                    <w:pStyle w:val="35"/>
                    <w:keepNext w:val="0"/>
                    <w:keepLines w:val="0"/>
                    <w:suppressLineNumbers w:val="0"/>
                    <w:spacing w:before="0" w:beforeAutospacing="0" w:after="0" w:afterAutospacing="0" w:line="240" w:lineRule="exact"/>
                    <w:ind w:left="0" w:right="0"/>
                    <w:jc w:val="center"/>
                    <w:rPr>
                      <w:szCs w:val="21"/>
                    </w:rPr>
                  </w:pPr>
                  <w:r>
                    <w:rPr>
                      <w:szCs w:val="21"/>
                    </w:rPr>
                    <w:t>73</w:t>
                  </w:r>
                </w:p>
              </w:tc>
              <w:tc>
                <w:tcPr>
                  <w:tcW w:w="454" w:type="pct"/>
                  <w:vAlign w:val="center"/>
                </w:tcPr>
                <w:p w14:paraId="15E4938C">
                  <w:pPr>
                    <w:pStyle w:val="35"/>
                    <w:keepNext w:val="0"/>
                    <w:keepLines w:val="0"/>
                    <w:suppressLineNumbers w:val="0"/>
                    <w:spacing w:before="0" w:beforeAutospacing="0" w:after="0" w:afterAutospacing="0" w:line="240" w:lineRule="exact"/>
                    <w:ind w:left="0" w:right="0"/>
                    <w:jc w:val="center"/>
                    <w:rPr>
                      <w:szCs w:val="21"/>
                    </w:rPr>
                  </w:pPr>
                  <w:r>
                    <w:rPr>
                      <w:szCs w:val="21"/>
                    </w:rPr>
                    <w:t>67</w:t>
                  </w:r>
                </w:p>
              </w:tc>
              <w:tc>
                <w:tcPr>
                  <w:tcW w:w="605" w:type="pct"/>
                  <w:vAlign w:val="center"/>
                </w:tcPr>
                <w:p w14:paraId="3BA8DB99">
                  <w:pPr>
                    <w:pStyle w:val="35"/>
                    <w:keepNext w:val="0"/>
                    <w:keepLines w:val="0"/>
                    <w:suppressLineNumbers w:val="0"/>
                    <w:spacing w:before="0" w:beforeAutospacing="0" w:after="0" w:afterAutospacing="0" w:line="240" w:lineRule="exact"/>
                    <w:ind w:left="0" w:right="0"/>
                    <w:jc w:val="center"/>
                    <w:rPr>
                      <w:szCs w:val="21"/>
                    </w:rPr>
                  </w:pPr>
                  <w:r>
                    <w:rPr>
                      <w:szCs w:val="21"/>
                    </w:rPr>
                    <w:t>61</w:t>
                  </w:r>
                </w:p>
              </w:tc>
              <w:tc>
                <w:tcPr>
                  <w:tcW w:w="753" w:type="pct"/>
                  <w:vAlign w:val="center"/>
                </w:tcPr>
                <w:p w14:paraId="04E058E0">
                  <w:pPr>
                    <w:pStyle w:val="35"/>
                    <w:keepNext w:val="0"/>
                    <w:keepLines w:val="0"/>
                    <w:suppressLineNumbers w:val="0"/>
                    <w:spacing w:before="0" w:beforeAutospacing="0" w:after="0" w:afterAutospacing="0" w:line="240" w:lineRule="exact"/>
                    <w:ind w:left="0" w:right="0"/>
                    <w:jc w:val="center"/>
                    <w:rPr>
                      <w:szCs w:val="21"/>
                    </w:rPr>
                  </w:pPr>
                  <w:r>
                    <w:rPr>
                      <w:szCs w:val="21"/>
                    </w:rPr>
                    <w:t>55</w:t>
                  </w:r>
                </w:p>
              </w:tc>
            </w:tr>
            <w:tr w14:paraId="4ABC0B62">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998" w:type="pct"/>
                  <w:vAlign w:val="center"/>
                </w:tcPr>
                <w:p w14:paraId="4D928A1C">
                  <w:pPr>
                    <w:pStyle w:val="35"/>
                    <w:keepNext w:val="0"/>
                    <w:keepLines w:val="0"/>
                    <w:suppressLineNumbers w:val="0"/>
                    <w:spacing w:before="0" w:beforeAutospacing="0" w:after="0" w:afterAutospacing="0" w:line="240" w:lineRule="exact"/>
                    <w:ind w:left="0" w:right="0"/>
                    <w:jc w:val="center"/>
                    <w:rPr>
                      <w:szCs w:val="21"/>
                    </w:rPr>
                  </w:pPr>
                  <w:r>
                    <w:rPr>
                      <w:szCs w:val="21"/>
                    </w:rPr>
                    <w:t>装载机</w:t>
                  </w:r>
                </w:p>
              </w:tc>
              <w:tc>
                <w:tcPr>
                  <w:tcW w:w="528" w:type="pct"/>
                  <w:vAlign w:val="center"/>
                </w:tcPr>
                <w:p w14:paraId="5B2F2914">
                  <w:pPr>
                    <w:pStyle w:val="35"/>
                    <w:keepNext w:val="0"/>
                    <w:keepLines w:val="0"/>
                    <w:suppressLineNumbers w:val="0"/>
                    <w:spacing w:before="0" w:beforeAutospacing="0" w:after="0" w:afterAutospacing="0" w:line="240" w:lineRule="exact"/>
                    <w:ind w:left="0" w:right="0"/>
                    <w:jc w:val="center"/>
                    <w:rPr>
                      <w:szCs w:val="21"/>
                    </w:rPr>
                  </w:pPr>
                  <w:r>
                    <w:rPr>
                      <w:szCs w:val="21"/>
                    </w:rPr>
                    <w:t>90</w:t>
                  </w:r>
                </w:p>
              </w:tc>
              <w:tc>
                <w:tcPr>
                  <w:tcW w:w="605" w:type="pct"/>
                  <w:vAlign w:val="center"/>
                </w:tcPr>
                <w:p w14:paraId="4ACE7760">
                  <w:pPr>
                    <w:pStyle w:val="35"/>
                    <w:keepNext w:val="0"/>
                    <w:keepLines w:val="0"/>
                    <w:suppressLineNumbers w:val="0"/>
                    <w:spacing w:before="0" w:beforeAutospacing="0" w:after="0" w:afterAutospacing="0" w:line="240" w:lineRule="exact"/>
                    <w:ind w:left="0" w:right="0"/>
                    <w:jc w:val="center"/>
                    <w:rPr>
                      <w:szCs w:val="21"/>
                    </w:rPr>
                  </w:pPr>
                  <w:r>
                    <w:rPr>
                      <w:szCs w:val="21"/>
                    </w:rPr>
                    <w:t>70</w:t>
                  </w:r>
                </w:p>
              </w:tc>
              <w:tc>
                <w:tcPr>
                  <w:tcW w:w="453" w:type="pct"/>
                  <w:vAlign w:val="center"/>
                </w:tcPr>
                <w:p w14:paraId="2F7574DB">
                  <w:pPr>
                    <w:pStyle w:val="35"/>
                    <w:keepNext w:val="0"/>
                    <w:keepLines w:val="0"/>
                    <w:suppressLineNumbers w:val="0"/>
                    <w:spacing w:before="0" w:beforeAutospacing="0" w:after="0" w:afterAutospacing="0" w:line="240" w:lineRule="exact"/>
                    <w:ind w:left="0" w:right="0"/>
                    <w:jc w:val="center"/>
                    <w:rPr>
                      <w:szCs w:val="21"/>
                    </w:rPr>
                  </w:pPr>
                  <w:r>
                    <w:rPr>
                      <w:szCs w:val="21"/>
                    </w:rPr>
                    <w:t>64</w:t>
                  </w:r>
                </w:p>
              </w:tc>
              <w:tc>
                <w:tcPr>
                  <w:tcW w:w="604" w:type="pct"/>
                  <w:vAlign w:val="center"/>
                </w:tcPr>
                <w:p w14:paraId="5CC50A20">
                  <w:pPr>
                    <w:pStyle w:val="35"/>
                    <w:keepNext w:val="0"/>
                    <w:keepLines w:val="0"/>
                    <w:suppressLineNumbers w:val="0"/>
                    <w:spacing w:before="0" w:beforeAutospacing="0" w:after="0" w:afterAutospacing="0" w:line="240" w:lineRule="exact"/>
                    <w:ind w:left="0" w:right="0"/>
                    <w:jc w:val="center"/>
                    <w:rPr>
                      <w:szCs w:val="21"/>
                    </w:rPr>
                  </w:pPr>
                  <w:r>
                    <w:rPr>
                      <w:szCs w:val="21"/>
                    </w:rPr>
                    <w:t>58</w:t>
                  </w:r>
                </w:p>
              </w:tc>
              <w:tc>
                <w:tcPr>
                  <w:tcW w:w="454" w:type="pct"/>
                  <w:vAlign w:val="center"/>
                </w:tcPr>
                <w:p w14:paraId="379FD3D7">
                  <w:pPr>
                    <w:pStyle w:val="35"/>
                    <w:keepNext w:val="0"/>
                    <w:keepLines w:val="0"/>
                    <w:suppressLineNumbers w:val="0"/>
                    <w:spacing w:before="0" w:beforeAutospacing="0" w:after="0" w:afterAutospacing="0" w:line="240" w:lineRule="exact"/>
                    <w:ind w:left="0" w:right="0"/>
                    <w:jc w:val="center"/>
                    <w:rPr>
                      <w:szCs w:val="21"/>
                    </w:rPr>
                  </w:pPr>
                  <w:r>
                    <w:rPr>
                      <w:szCs w:val="21"/>
                    </w:rPr>
                    <w:t>52</w:t>
                  </w:r>
                </w:p>
              </w:tc>
              <w:tc>
                <w:tcPr>
                  <w:tcW w:w="605" w:type="pct"/>
                  <w:vAlign w:val="center"/>
                </w:tcPr>
                <w:p w14:paraId="0CBD33B4">
                  <w:pPr>
                    <w:pStyle w:val="35"/>
                    <w:keepNext w:val="0"/>
                    <w:keepLines w:val="0"/>
                    <w:suppressLineNumbers w:val="0"/>
                    <w:spacing w:before="0" w:beforeAutospacing="0" w:after="0" w:afterAutospacing="0" w:line="240" w:lineRule="exact"/>
                    <w:ind w:left="0" w:right="0"/>
                    <w:jc w:val="center"/>
                    <w:rPr>
                      <w:szCs w:val="21"/>
                    </w:rPr>
                  </w:pPr>
                  <w:r>
                    <w:rPr>
                      <w:szCs w:val="21"/>
                    </w:rPr>
                    <w:t>46</w:t>
                  </w:r>
                </w:p>
              </w:tc>
              <w:tc>
                <w:tcPr>
                  <w:tcW w:w="753" w:type="pct"/>
                  <w:vAlign w:val="center"/>
                </w:tcPr>
                <w:p w14:paraId="42E7A256">
                  <w:pPr>
                    <w:pStyle w:val="35"/>
                    <w:keepNext w:val="0"/>
                    <w:keepLines w:val="0"/>
                    <w:suppressLineNumbers w:val="0"/>
                    <w:spacing w:before="0" w:beforeAutospacing="0" w:after="0" w:afterAutospacing="0" w:line="240" w:lineRule="exact"/>
                    <w:ind w:left="0" w:right="0"/>
                    <w:jc w:val="center"/>
                    <w:rPr>
                      <w:szCs w:val="21"/>
                    </w:rPr>
                  </w:pPr>
                  <w:r>
                    <w:rPr>
                      <w:szCs w:val="21"/>
                    </w:rPr>
                    <w:t>40</w:t>
                  </w:r>
                </w:p>
              </w:tc>
            </w:tr>
            <w:tr w14:paraId="77C21553">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998" w:type="pct"/>
                  <w:vAlign w:val="center"/>
                </w:tcPr>
                <w:p w14:paraId="1935AA8D">
                  <w:pPr>
                    <w:pStyle w:val="35"/>
                    <w:keepNext w:val="0"/>
                    <w:keepLines w:val="0"/>
                    <w:suppressLineNumbers w:val="0"/>
                    <w:spacing w:before="0" w:beforeAutospacing="0" w:after="0" w:afterAutospacing="0" w:line="240" w:lineRule="exact"/>
                    <w:ind w:left="0" w:right="0"/>
                    <w:jc w:val="center"/>
                    <w:rPr>
                      <w:szCs w:val="21"/>
                    </w:rPr>
                  </w:pPr>
                  <w:r>
                    <w:rPr>
                      <w:szCs w:val="21"/>
                    </w:rPr>
                    <w:t>运输车辆</w:t>
                  </w:r>
                </w:p>
              </w:tc>
              <w:tc>
                <w:tcPr>
                  <w:tcW w:w="528" w:type="pct"/>
                  <w:vAlign w:val="center"/>
                </w:tcPr>
                <w:p w14:paraId="36C2E407">
                  <w:pPr>
                    <w:pStyle w:val="35"/>
                    <w:keepNext w:val="0"/>
                    <w:keepLines w:val="0"/>
                    <w:suppressLineNumbers w:val="0"/>
                    <w:spacing w:before="0" w:beforeAutospacing="0" w:after="0" w:afterAutospacing="0" w:line="240" w:lineRule="exact"/>
                    <w:ind w:left="0" w:right="0"/>
                    <w:jc w:val="center"/>
                    <w:rPr>
                      <w:szCs w:val="21"/>
                    </w:rPr>
                  </w:pPr>
                  <w:r>
                    <w:rPr>
                      <w:szCs w:val="21"/>
                    </w:rPr>
                    <w:t>85</w:t>
                  </w:r>
                </w:p>
              </w:tc>
              <w:tc>
                <w:tcPr>
                  <w:tcW w:w="605" w:type="pct"/>
                  <w:vAlign w:val="center"/>
                </w:tcPr>
                <w:p w14:paraId="0562C7B0">
                  <w:pPr>
                    <w:pStyle w:val="35"/>
                    <w:keepNext w:val="0"/>
                    <w:keepLines w:val="0"/>
                    <w:suppressLineNumbers w:val="0"/>
                    <w:spacing w:before="0" w:beforeAutospacing="0" w:after="0" w:afterAutospacing="0" w:line="240" w:lineRule="exact"/>
                    <w:ind w:left="0" w:right="0"/>
                    <w:jc w:val="center"/>
                    <w:rPr>
                      <w:szCs w:val="21"/>
                    </w:rPr>
                  </w:pPr>
                  <w:r>
                    <w:rPr>
                      <w:szCs w:val="21"/>
                    </w:rPr>
                    <w:t>65</w:t>
                  </w:r>
                </w:p>
              </w:tc>
              <w:tc>
                <w:tcPr>
                  <w:tcW w:w="453" w:type="pct"/>
                  <w:vAlign w:val="center"/>
                </w:tcPr>
                <w:p w14:paraId="72FD1884">
                  <w:pPr>
                    <w:pStyle w:val="35"/>
                    <w:keepNext w:val="0"/>
                    <w:keepLines w:val="0"/>
                    <w:suppressLineNumbers w:val="0"/>
                    <w:spacing w:before="0" w:beforeAutospacing="0" w:after="0" w:afterAutospacing="0" w:line="240" w:lineRule="exact"/>
                    <w:ind w:left="0" w:right="0"/>
                    <w:jc w:val="center"/>
                    <w:rPr>
                      <w:szCs w:val="21"/>
                    </w:rPr>
                  </w:pPr>
                  <w:r>
                    <w:rPr>
                      <w:szCs w:val="21"/>
                    </w:rPr>
                    <w:t>59</w:t>
                  </w:r>
                </w:p>
              </w:tc>
              <w:tc>
                <w:tcPr>
                  <w:tcW w:w="604" w:type="pct"/>
                  <w:vAlign w:val="center"/>
                </w:tcPr>
                <w:p w14:paraId="4A5A2110">
                  <w:pPr>
                    <w:pStyle w:val="35"/>
                    <w:keepNext w:val="0"/>
                    <w:keepLines w:val="0"/>
                    <w:suppressLineNumbers w:val="0"/>
                    <w:spacing w:before="0" w:beforeAutospacing="0" w:after="0" w:afterAutospacing="0" w:line="240" w:lineRule="exact"/>
                    <w:ind w:left="0" w:right="0"/>
                    <w:jc w:val="center"/>
                    <w:rPr>
                      <w:szCs w:val="21"/>
                    </w:rPr>
                  </w:pPr>
                  <w:r>
                    <w:rPr>
                      <w:szCs w:val="21"/>
                    </w:rPr>
                    <w:t>53</w:t>
                  </w:r>
                </w:p>
              </w:tc>
              <w:tc>
                <w:tcPr>
                  <w:tcW w:w="454" w:type="pct"/>
                  <w:vAlign w:val="center"/>
                </w:tcPr>
                <w:p w14:paraId="649C90E4">
                  <w:pPr>
                    <w:pStyle w:val="35"/>
                    <w:keepNext w:val="0"/>
                    <w:keepLines w:val="0"/>
                    <w:suppressLineNumbers w:val="0"/>
                    <w:spacing w:before="0" w:beforeAutospacing="0" w:after="0" w:afterAutospacing="0" w:line="240" w:lineRule="exact"/>
                    <w:ind w:left="0" w:right="0"/>
                    <w:jc w:val="center"/>
                    <w:rPr>
                      <w:szCs w:val="21"/>
                    </w:rPr>
                  </w:pPr>
                  <w:r>
                    <w:rPr>
                      <w:szCs w:val="21"/>
                    </w:rPr>
                    <w:t>47</w:t>
                  </w:r>
                </w:p>
              </w:tc>
              <w:tc>
                <w:tcPr>
                  <w:tcW w:w="605" w:type="pct"/>
                  <w:vAlign w:val="center"/>
                </w:tcPr>
                <w:p w14:paraId="3E12253B">
                  <w:pPr>
                    <w:pStyle w:val="35"/>
                    <w:keepNext w:val="0"/>
                    <w:keepLines w:val="0"/>
                    <w:suppressLineNumbers w:val="0"/>
                    <w:spacing w:before="0" w:beforeAutospacing="0" w:after="0" w:afterAutospacing="0" w:line="240" w:lineRule="exact"/>
                    <w:ind w:left="0" w:right="0"/>
                    <w:jc w:val="center"/>
                    <w:rPr>
                      <w:szCs w:val="21"/>
                    </w:rPr>
                  </w:pPr>
                  <w:r>
                    <w:rPr>
                      <w:szCs w:val="21"/>
                    </w:rPr>
                    <w:t>41</w:t>
                  </w:r>
                </w:p>
              </w:tc>
              <w:tc>
                <w:tcPr>
                  <w:tcW w:w="753" w:type="pct"/>
                  <w:vAlign w:val="center"/>
                </w:tcPr>
                <w:p w14:paraId="11AFC4C5">
                  <w:pPr>
                    <w:pStyle w:val="35"/>
                    <w:keepNext w:val="0"/>
                    <w:keepLines w:val="0"/>
                    <w:suppressLineNumbers w:val="0"/>
                    <w:spacing w:before="0" w:beforeAutospacing="0" w:after="0" w:afterAutospacing="0" w:line="240" w:lineRule="exact"/>
                    <w:ind w:left="0" w:right="0"/>
                    <w:jc w:val="center"/>
                    <w:rPr>
                      <w:szCs w:val="21"/>
                    </w:rPr>
                  </w:pPr>
                  <w:r>
                    <w:rPr>
                      <w:szCs w:val="21"/>
                    </w:rPr>
                    <w:t>35</w:t>
                  </w:r>
                </w:p>
              </w:tc>
            </w:tr>
            <w:tr w14:paraId="4668FE9B">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998" w:type="pct"/>
                  <w:vAlign w:val="center"/>
                </w:tcPr>
                <w:p w14:paraId="75CB6E4E">
                  <w:pPr>
                    <w:pStyle w:val="35"/>
                    <w:keepNext w:val="0"/>
                    <w:keepLines w:val="0"/>
                    <w:suppressLineNumbers w:val="0"/>
                    <w:spacing w:before="0" w:beforeAutospacing="0" w:after="0" w:afterAutospacing="0" w:line="240" w:lineRule="exact"/>
                    <w:ind w:left="0" w:right="0"/>
                    <w:jc w:val="center"/>
                    <w:rPr>
                      <w:szCs w:val="21"/>
                    </w:rPr>
                  </w:pPr>
                  <w:r>
                    <w:rPr>
                      <w:szCs w:val="21"/>
                    </w:rPr>
                    <w:t>混凝土搅拌车</w:t>
                  </w:r>
                </w:p>
              </w:tc>
              <w:tc>
                <w:tcPr>
                  <w:tcW w:w="528" w:type="pct"/>
                  <w:vAlign w:val="center"/>
                </w:tcPr>
                <w:p w14:paraId="108286E6">
                  <w:pPr>
                    <w:pStyle w:val="35"/>
                    <w:keepNext w:val="0"/>
                    <w:keepLines w:val="0"/>
                    <w:suppressLineNumbers w:val="0"/>
                    <w:spacing w:before="0" w:beforeAutospacing="0" w:after="0" w:afterAutospacing="0" w:line="240" w:lineRule="exact"/>
                    <w:ind w:left="0" w:right="0"/>
                    <w:jc w:val="center"/>
                    <w:rPr>
                      <w:szCs w:val="21"/>
                    </w:rPr>
                  </w:pPr>
                  <w:r>
                    <w:rPr>
                      <w:szCs w:val="21"/>
                    </w:rPr>
                    <w:t>105</w:t>
                  </w:r>
                </w:p>
              </w:tc>
              <w:tc>
                <w:tcPr>
                  <w:tcW w:w="605" w:type="pct"/>
                  <w:vAlign w:val="center"/>
                </w:tcPr>
                <w:p w14:paraId="4E2FD0EA">
                  <w:pPr>
                    <w:pStyle w:val="35"/>
                    <w:keepNext w:val="0"/>
                    <w:keepLines w:val="0"/>
                    <w:suppressLineNumbers w:val="0"/>
                    <w:spacing w:before="0" w:beforeAutospacing="0" w:after="0" w:afterAutospacing="0" w:line="240" w:lineRule="exact"/>
                    <w:ind w:left="0" w:right="0"/>
                    <w:jc w:val="center"/>
                    <w:rPr>
                      <w:szCs w:val="21"/>
                    </w:rPr>
                  </w:pPr>
                  <w:r>
                    <w:rPr>
                      <w:szCs w:val="21"/>
                    </w:rPr>
                    <w:t>85</w:t>
                  </w:r>
                </w:p>
              </w:tc>
              <w:tc>
                <w:tcPr>
                  <w:tcW w:w="453" w:type="pct"/>
                  <w:vAlign w:val="center"/>
                </w:tcPr>
                <w:p w14:paraId="286A7FA0">
                  <w:pPr>
                    <w:pStyle w:val="35"/>
                    <w:keepNext w:val="0"/>
                    <w:keepLines w:val="0"/>
                    <w:suppressLineNumbers w:val="0"/>
                    <w:spacing w:before="0" w:beforeAutospacing="0" w:after="0" w:afterAutospacing="0" w:line="240" w:lineRule="exact"/>
                    <w:ind w:left="0" w:right="0"/>
                    <w:jc w:val="center"/>
                    <w:rPr>
                      <w:szCs w:val="21"/>
                    </w:rPr>
                  </w:pPr>
                  <w:r>
                    <w:rPr>
                      <w:szCs w:val="21"/>
                    </w:rPr>
                    <w:t>79</w:t>
                  </w:r>
                </w:p>
              </w:tc>
              <w:tc>
                <w:tcPr>
                  <w:tcW w:w="604" w:type="pct"/>
                  <w:vAlign w:val="center"/>
                </w:tcPr>
                <w:p w14:paraId="39285F63">
                  <w:pPr>
                    <w:pStyle w:val="35"/>
                    <w:keepNext w:val="0"/>
                    <w:keepLines w:val="0"/>
                    <w:suppressLineNumbers w:val="0"/>
                    <w:spacing w:before="0" w:beforeAutospacing="0" w:after="0" w:afterAutospacing="0" w:line="240" w:lineRule="exact"/>
                    <w:ind w:left="0" w:right="0"/>
                    <w:jc w:val="center"/>
                    <w:rPr>
                      <w:szCs w:val="21"/>
                    </w:rPr>
                  </w:pPr>
                  <w:r>
                    <w:rPr>
                      <w:szCs w:val="21"/>
                    </w:rPr>
                    <w:t>73</w:t>
                  </w:r>
                </w:p>
              </w:tc>
              <w:tc>
                <w:tcPr>
                  <w:tcW w:w="454" w:type="pct"/>
                  <w:vAlign w:val="center"/>
                </w:tcPr>
                <w:p w14:paraId="32F61D66">
                  <w:pPr>
                    <w:pStyle w:val="35"/>
                    <w:keepNext w:val="0"/>
                    <w:keepLines w:val="0"/>
                    <w:suppressLineNumbers w:val="0"/>
                    <w:spacing w:before="0" w:beforeAutospacing="0" w:after="0" w:afterAutospacing="0" w:line="240" w:lineRule="exact"/>
                    <w:ind w:left="0" w:right="0"/>
                    <w:jc w:val="center"/>
                    <w:rPr>
                      <w:szCs w:val="21"/>
                    </w:rPr>
                  </w:pPr>
                  <w:r>
                    <w:rPr>
                      <w:szCs w:val="21"/>
                    </w:rPr>
                    <w:t>67</w:t>
                  </w:r>
                </w:p>
              </w:tc>
              <w:tc>
                <w:tcPr>
                  <w:tcW w:w="605" w:type="pct"/>
                  <w:vAlign w:val="center"/>
                </w:tcPr>
                <w:p w14:paraId="6C7CE0BC">
                  <w:pPr>
                    <w:pStyle w:val="35"/>
                    <w:keepNext w:val="0"/>
                    <w:keepLines w:val="0"/>
                    <w:suppressLineNumbers w:val="0"/>
                    <w:spacing w:before="0" w:beforeAutospacing="0" w:after="0" w:afterAutospacing="0" w:line="240" w:lineRule="exact"/>
                    <w:ind w:left="0" w:right="0"/>
                    <w:jc w:val="center"/>
                    <w:rPr>
                      <w:szCs w:val="21"/>
                    </w:rPr>
                  </w:pPr>
                  <w:r>
                    <w:rPr>
                      <w:szCs w:val="21"/>
                    </w:rPr>
                    <w:t>61</w:t>
                  </w:r>
                </w:p>
              </w:tc>
              <w:tc>
                <w:tcPr>
                  <w:tcW w:w="753" w:type="pct"/>
                  <w:vAlign w:val="center"/>
                </w:tcPr>
                <w:p w14:paraId="4C7DB088">
                  <w:pPr>
                    <w:pStyle w:val="35"/>
                    <w:keepNext w:val="0"/>
                    <w:keepLines w:val="0"/>
                    <w:suppressLineNumbers w:val="0"/>
                    <w:spacing w:before="0" w:beforeAutospacing="0" w:after="0" w:afterAutospacing="0" w:line="240" w:lineRule="exact"/>
                    <w:ind w:left="0" w:right="0"/>
                    <w:jc w:val="center"/>
                    <w:rPr>
                      <w:szCs w:val="21"/>
                    </w:rPr>
                  </w:pPr>
                  <w:r>
                    <w:rPr>
                      <w:szCs w:val="21"/>
                    </w:rPr>
                    <w:t>55</w:t>
                  </w:r>
                </w:p>
              </w:tc>
            </w:tr>
            <w:tr w14:paraId="10303D5F">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998" w:type="pct"/>
                  <w:vAlign w:val="center"/>
                </w:tcPr>
                <w:p w14:paraId="78EA7DC5">
                  <w:pPr>
                    <w:pStyle w:val="35"/>
                    <w:keepNext w:val="0"/>
                    <w:keepLines w:val="0"/>
                    <w:suppressLineNumbers w:val="0"/>
                    <w:spacing w:before="0" w:beforeAutospacing="0" w:after="0" w:afterAutospacing="0" w:line="240" w:lineRule="exact"/>
                    <w:ind w:left="0" w:right="0"/>
                    <w:jc w:val="center"/>
                    <w:rPr>
                      <w:szCs w:val="21"/>
                    </w:rPr>
                  </w:pPr>
                  <w:r>
                    <w:rPr>
                      <w:szCs w:val="21"/>
                    </w:rPr>
                    <w:t>空压机</w:t>
                  </w:r>
                </w:p>
              </w:tc>
              <w:tc>
                <w:tcPr>
                  <w:tcW w:w="528" w:type="pct"/>
                  <w:vAlign w:val="center"/>
                </w:tcPr>
                <w:p w14:paraId="168A96FF">
                  <w:pPr>
                    <w:pStyle w:val="35"/>
                    <w:keepNext w:val="0"/>
                    <w:keepLines w:val="0"/>
                    <w:suppressLineNumbers w:val="0"/>
                    <w:spacing w:before="0" w:beforeAutospacing="0" w:after="0" w:afterAutospacing="0" w:line="240" w:lineRule="exact"/>
                    <w:ind w:left="0" w:right="0"/>
                    <w:jc w:val="center"/>
                    <w:rPr>
                      <w:szCs w:val="21"/>
                    </w:rPr>
                  </w:pPr>
                  <w:r>
                    <w:rPr>
                      <w:szCs w:val="21"/>
                    </w:rPr>
                    <w:t>102</w:t>
                  </w:r>
                </w:p>
              </w:tc>
              <w:tc>
                <w:tcPr>
                  <w:tcW w:w="605" w:type="pct"/>
                  <w:vAlign w:val="center"/>
                </w:tcPr>
                <w:p w14:paraId="087089EB">
                  <w:pPr>
                    <w:pStyle w:val="35"/>
                    <w:keepNext w:val="0"/>
                    <w:keepLines w:val="0"/>
                    <w:suppressLineNumbers w:val="0"/>
                    <w:spacing w:before="0" w:beforeAutospacing="0" w:after="0" w:afterAutospacing="0" w:line="240" w:lineRule="exact"/>
                    <w:ind w:left="0" w:right="0"/>
                    <w:jc w:val="center"/>
                    <w:rPr>
                      <w:szCs w:val="21"/>
                    </w:rPr>
                  </w:pPr>
                  <w:r>
                    <w:rPr>
                      <w:szCs w:val="21"/>
                    </w:rPr>
                    <w:t>82</w:t>
                  </w:r>
                </w:p>
              </w:tc>
              <w:tc>
                <w:tcPr>
                  <w:tcW w:w="453" w:type="pct"/>
                  <w:vAlign w:val="center"/>
                </w:tcPr>
                <w:p w14:paraId="30032C4F">
                  <w:pPr>
                    <w:pStyle w:val="35"/>
                    <w:keepNext w:val="0"/>
                    <w:keepLines w:val="0"/>
                    <w:suppressLineNumbers w:val="0"/>
                    <w:spacing w:before="0" w:beforeAutospacing="0" w:after="0" w:afterAutospacing="0" w:line="240" w:lineRule="exact"/>
                    <w:ind w:left="0" w:right="0"/>
                    <w:jc w:val="center"/>
                    <w:rPr>
                      <w:szCs w:val="21"/>
                    </w:rPr>
                  </w:pPr>
                  <w:r>
                    <w:rPr>
                      <w:szCs w:val="21"/>
                    </w:rPr>
                    <w:t>76</w:t>
                  </w:r>
                </w:p>
              </w:tc>
              <w:tc>
                <w:tcPr>
                  <w:tcW w:w="604" w:type="pct"/>
                  <w:vAlign w:val="center"/>
                </w:tcPr>
                <w:p w14:paraId="4C0D8E02">
                  <w:pPr>
                    <w:pStyle w:val="35"/>
                    <w:keepNext w:val="0"/>
                    <w:keepLines w:val="0"/>
                    <w:suppressLineNumbers w:val="0"/>
                    <w:spacing w:before="0" w:beforeAutospacing="0" w:after="0" w:afterAutospacing="0" w:line="240" w:lineRule="exact"/>
                    <w:ind w:left="0" w:right="0"/>
                    <w:jc w:val="center"/>
                    <w:rPr>
                      <w:szCs w:val="21"/>
                    </w:rPr>
                  </w:pPr>
                  <w:r>
                    <w:rPr>
                      <w:szCs w:val="21"/>
                    </w:rPr>
                    <w:t>70</w:t>
                  </w:r>
                </w:p>
              </w:tc>
              <w:tc>
                <w:tcPr>
                  <w:tcW w:w="454" w:type="pct"/>
                  <w:vAlign w:val="center"/>
                </w:tcPr>
                <w:p w14:paraId="3D95A4C1">
                  <w:pPr>
                    <w:pStyle w:val="35"/>
                    <w:keepNext w:val="0"/>
                    <w:keepLines w:val="0"/>
                    <w:suppressLineNumbers w:val="0"/>
                    <w:spacing w:before="0" w:beforeAutospacing="0" w:after="0" w:afterAutospacing="0" w:line="240" w:lineRule="exact"/>
                    <w:ind w:left="0" w:right="0"/>
                    <w:jc w:val="center"/>
                    <w:rPr>
                      <w:szCs w:val="21"/>
                    </w:rPr>
                  </w:pPr>
                  <w:r>
                    <w:rPr>
                      <w:szCs w:val="21"/>
                    </w:rPr>
                    <w:t>64</w:t>
                  </w:r>
                </w:p>
              </w:tc>
              <w:tc>
                <w:tcPr>
                  <w:tcW w:w="605" w:type="pct"/>
                  <w:vAlign w:val="center"/>
                </w:tcPr>
                <w:p w14:paraId="2AFB60C9">
                  <w:pPr>
                    <w:pStyle w:val="35"/>
                    <w:keepNext w:val="0"/>
                    <w:keepLines w:val="0"/>
                    <w:suppressLineNumbers w:val="0"/>
                    <w:spacing w:before="0" w:beforeAutospacing="0" w:after="0" w:afterAutospacing="0" w:line="240" w:lineRule="exact"/>
                    <w:ind w:left="0" w:right="0"/>
                    <w:jc w:val="center"/>
                    <w:rPr>
                      <w:szCs w:val="21"/>
                    </w:rPr>
                  </w:pPr>
                  <w:r>
                    <w:rPr>
                      <w:szCs w:val="21"/>
                    </w:rPr>
                    <w:t>58</w:t>
                  </w:r>
                </w:p>
              </w:tc>
              <w:tc>
                <w:tcPr>
                  <w:tcW w:w="753" w:type="pct"/>
                  <w:vAlign w:val="center"/>
                </w:tcPr>
                <w:p w14:paraId="52CD688C">
                  <w:pPr>
                    <w:pStyle w:val="35"/>
                    <w:keepNext w:val="0"/>
                    <w:keepLines w:val="0"/>
                    <w:suppressLineNumbers w:val="0"/>
                    <w:spacing w:before="0" w:beforeAutospacing="0" w:after="0" w:afterAutospacing="0" w:line="240" w:lineRule="exact"/>
                    <w:ind w:left="0" w:right="0"/>
                    <w:jc w:val="center"/>
                    <w:rPr>
                      <w:szCs w:val="21"/>
                    </w:rPr>
                  </w:pPr>
                  <w:r>
                    <w:rPr>
                      <w:szCs w:val="21"/>
                    </w:rPr>
                    <w:t>52</w:t>
                  </w:r>
                </w:p>
              </w:tc>
            </w:tr>
          </w:tbl>
          <w:p w14:paraId="13843F3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sz w:val="24"/>
              </w:rPr>
            </w:pPr>
            <w:r>
              <w:rPr>
                <w:sz w:val="24"/>
              </w:rPr>
              <w:t>施工期噪声评价标准采用《建筑施工场界环境噪声排放标准》</w:t>
            </w:r>
            <w:r>
              <w:rPr>
                <w:color w:val="000000"/>
                <w:kern w:val="0"/>
                <w:sz w:val="24"/>
              </w:rPr>
              <w:t>(GB12523-2011)</w:t>
            </w:r>
            <w:r>
              <w:rPr>
                <w:sz w:val="24"/>
              </w:rPr>
              <w:t>昼间70dB(A)，夜间55dB(A)，由表4-1可知，施工噪声值在距声源80m处即可满足《建筑施工场界环境噪声排放标准》</w:t>
            </w:r>
            <w:r>
              <w:rPr>
                <w:color w:val="000000"/>
                <w:kern w:val="0"/>
                <w:sz w:val="24"/>
              </w:rPr>
              <w:t>(GB12523-2011)</w:t>
            </w:r>
            <w:r>
              <w:rPr>
                <w:sz w:val="24"/>
              </w:rPr>
              <w:t>昼间70dB(A)要求。本工程施工大部分安排在白天，且线路沿线无声环境目标， 各段施工时间相对较短，施工产生噪声对周边环境影响相对较小。</w:t>
            </w:r>
          </w:p>
          <w:p w14:paraId="1D56135B">
            <w:pPr>
              <w:keepNext w:val="0"/>
              <w:keepLines w:val="0"/>
              <w:suppressLineNumbers w:val="0"/>
              <w:adjustRightInd w:val="0"/>
              <w:snapToGrid w:val="0"/>
              <w:spacing w:before="0" w:beforeAutospacing="0" w:after="0" w:afterAutospacing="0" w:line="360" w:lineRule="auto"/>
              <w:ind w:left="0" w:right="0"/>
              <w:rPr>
                <w:b/>
                <w:bCs/>
                <w:sz w:val="24"/>
              </w:rPr>
            </w:pPr>
            <w:r>
              <w:rPr>
                <w:rFonts w:hint="eastAsia"/>
                <w:b/>
                <w:bCs/>
                <w:sz w:val="24"/>
              </w:rPr>
              <w:t>5、</w:t>
            </w:r>
            <w:r>
              <w:rPr>
                <w:b/>
                <w:bCs/>
                <w:sz w:val="24"/>
              </w:rPr>
              <w:t>固体废物影响分析</w:t>
            </w:r>
          </w:p>
          <w:p w14:paraId="6AAED360">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（1）施工人员生活垃圾</w:t>
            </w:r>
          </w:p>
          <w:p w14:paraId="32B339FF">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施工人员200人，生活垃圾按0.5kg/人</w:t>
            </w:r>
            <w:r>
              <w:rPr>
                <w:rFonts w:hint="eastAsia"/>
                <w:sz w:val="24"/>
              </w:rPr>
              <w:t>·</w:t>
            </w:r>
            <w:r>
              <w:rPr>
                <w:sz w:val="24"/>
              </w:rPr>
              <w:t>d，产生量为100kg/d，施工期为6个月，则总的产生量为18t。生活垃圾集中收集至带盖垃圾箱内，定期清运至库米什镇就近的生活垃圾收集点，最终由库米什镇环卫部门统一清运处置。</w:t>
            </w:r>
          </w:p>
          <w:p w14:paraId="12C296D2">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（2）建筑垃圾</w:t>
            </w:r>
          </w:p>
          <w:p w14:paraId="48C38413">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rPr>
                <w:sz w:val="24"/>
              </w:rPr>
            </w:pPr>
            <w:r>
              <w:rPr>
                <w:sz w:val="24"/>
              </w:rPr>
              <w:t>施工过程中会产生的少量废弃</w:t>
            </w:r>
            <w:r>
              <w:rPr>
                <w:rFonts w:hint="eastAsia"/>
                <w:sz w:val="24"/>
              </w:rPr>
              <w:t>的建</w:t>
            </w:r>
            <w:r>
              <w:rPr>
                <w:sz w:val="24"/>
              </w:rPr>
              <w:t>筑材料边角料、设备包装废弃物等，产生量约0.3t，此部分废弃物为一般建筑垃圾，施工单位应加强管理，禁止在施工过程中随意丢弃、抛洒建筑垃圾，要做到堆放有序，建筑垃圾施工方应充分回收利用，不可回收部分运往建筑部门指定地点妥善堆存。</w:t>
            </w:r>
          </w:p>
          <w:p w14:paraId="043BF409">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rPr>
                <w:sz w:val="24"/>
              </w:rPr>
            </w:pPr>
            <w:r>
              <w:rPr>
                <w:sz w:val="24"/>
              </w:rPr>
              <w:t>（3）弃土石方</w:t>
            </w:r>
          </w:p>
          <w:p w14:paraId="273D9E1D">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pPr>
            <w:r>
              <w:rPr>
                <w:sz w:val="24"/>
              </w:rPr>
              <w:t>根据可研设计资料，本项目开挖土石方22524m³，共回填土石方22524m³，无弃土石方。</w:t>
            </w:r>
          </w:p>
        </w:tc>
      </w:tr>
      <w:tr w14:paraId="0CE6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1" w:type="dxa"/>
            <w:vAlign w:val="center"/>
          </w:tcPr>
          <w:p w14:paraId="50DF57BB">
            <w:pPr>
              <w:keepNext w:val="0"/>
              <w:keepLines w:val="0"/>
              <w:suppressLineNumbers w:val="0"/>
              <w:spacing w:before="0" w:beforeAutospacing="0" w:after="0" w:afterAutospacing="0"/>
              <w:ind w:left="0" w:right="0"/>
              <w:rPr>
                <w:sz w:val="24"/>
              </w:rPr>
            </w:pPr>
            <w:r>
              <w:rPr>
                <w:bCs/>
                <w:spacing w:val="10"/>
                <w:sz w:val="24"/>
              </w:rPr>
              <w:t>运营期生态环境影响分析</w:t>
            </w:r>
          </w:p>
        </w:tc>
        <w:tc>
          <w:tcPr>
            <w:tcW w:w="8323" w:type="dxa"/>
          </w:tcPr>
          <w:p w14:paraId="22DAADBC">
            <w:pPr>
              <w:keepNext w:val="0"/>
              <w:keepLines w:val="0"/>
              <w:pageBreakBefore w:val="0"/>
              <w:widowControl w:val="0"/>
              <w:suppressLineNumbers w:val="0"/>
              <w:kinsoku/>
              <w:wordWrap/>
              <w:overflowPunct/>
              <w:topLinePunct w:val="0"/>
              <w:autoSpaceDE w:val="0"/>
              <w:autoSpaceDN w:val="0"/>
              <w:bidi w:val="0"/>
              <w:adjustRightInd/>
              <w:snapToGrid w:val="0"/>
              <w:spacing w:before="157" w:beforeLines="50" w:beforeAutospacing="0" w:after="0" w:afterAutospacing="0" w:line="360" w:lineRule="auto"/>
              <w:ind w:left="0" w:right="0"/>
              <w:contextualSpacing/>
              <w:textAlignment w:val="auto"/>
              <w:rPr>
                <w:b/>
                <w:bCs/>
                <w:sz w:val="24"/>
              </w:rPr>
            </w:pPr>
            <w:r>
              <w:rPr>
                <w:rFonts w:hint="eastAsia"/>
                <w:b/>
                <w:bCs/>
                <w:sz w:val="24"/>
              </w:rPr>
              <w:t>1、</w:t>
            </w:r>
            <w:r>
              <w:rPr>
                <w:b/>
                <w:bCs/>
                <w:sz w:val="24"/>
              </w:rPr>
              <w:t>运营期大气环境影响分析</w:t>
            </w:r>
          </w:p>
          <w:p w14:paraId="271689FA">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1.1废气污染物产排情况</w:t>
            </w:r>
          </w:p>
          <w:p w14:paraId="1E9F6643">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本项目运行过程中，输电线路不涉及废气排放。升压站</w:t>
            </w:r>
            <w:r>
              <w:rPr>
                <w:rFonts w:hint="eastAsia"/>
                <w:sz w:val="24"/>
                <w:lang w:val="zh-CN"/>
              </w:rPr>
              <w:t>生活区</w:t>
            </w:r>
            <w:r>
              <w:rPr>
                <w:sz w:val="24"/>
                <w:lang w:val="zh-CN"/>
              </w:rPr>
              <w:t>内设置食堂，运营期废气主要为食堂油烟。</w:t>
            </w:r>
          </w:p>
          <w:p w14:paraId="0BCD6521">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rPr>
                <w:sz w:val="24"/>
              </w:rPr>
            </w:pPr>
            <w:r>
              <w:rPr>
                <w:sz w:val="24"/>
                <w:lang w:val="zh-CN"/>
              </w:rPr>
              <w:t>本项目每天就餐按最大人数</w:t>
            </w:r>
            <w:r>
              <w:rPr>
                <w:sz w:val="24"/>
              </w:rPr>
              <w:t>15</w:t>
            </w:r>
            <w:r>
              <w:rPr>
                <w:sz w:val="24"/>
                <w:lang w:val="zh-CN"/>
              </w:rPr>
              <w:t>人计，年运营时间为365d，</w:t>
            </w:r>
            <w:r>
              <w:rPr>
                <w:sz w:val="24"/>
              </w:rPr>
              <w:t>消耗动植物油以40g/人·d计，则食堂年消耗食用油219kg/a。食物烹饪、加工过程中产生油烟废气，油烟的产生量按食用油的3%计算，则食堂油烟产生量约6.57kg/a。</w:t>
            </w:r>
            <w:r>
              <w:rPr>
                <w:sz w:val="24"/>
                <w:lang w:val="zh-CN"/>
              </w:rPr>
              <w:t>根据食堂实际运营情况，烹饪时间按平均3h/d计，年工作时间为1095h，本项目油烟产生速率0.0</w:t>
            </w:r>
            <w:r>
              <w:rPr>
                <w:sz w:val="24"/>
              </w:rPr>
              <w:t>06</w:t>
            </w:r>
            <w:r>
              <w:rPr>
                <w:sz w:val="24"/>
                <w:lang w:val="zh-CN"/>
              </w:rPr>
              <w:t>kg/h，产生浓度</w:t>
            </w:r>
            <w:r>
              <w:rPr>
                <w:sz w:val="24"/>
              </w:rPr>
              <w:t>2</w:t>
            </w:r>
            <w:r>
              <w:rPr>
                <w:sz w:val="24"/>
                <w:lang w:val="zh-CN"/>
              </w:rPr>
              <w:t>mg/m</w:t>
            </w:r>
            <w:r>
              <w:rPr>
                <w:sz w:val="24"/>
                <w:vertAlign w:val="superscript"/>
                <w:lang w:val="zh-CN"/>
              </w:rPr>
              <w:t>3</w:t>
            </w:r>
            <w:r>
              <w:rPr>
                <w:sz w:val="24"/>
                <w:lang w:val="zh-CN"/>
              </w:rPr>
              <w:t>。本项目餐厅设置2个灶头，属《饮食业油烟排放标准（试行）》（GB18483-2001）中划定的小型餐饮单位，见表</w:t>
            </w:r>
            <w:r>
              <w:rPr>
                <w:sz w:val="24"/>
              </w:rPr>
              <w:t>4-2。</w:t>
            </w:r>
          </w:p>
          <w:p w14:paraId="14E83266">
            <w:pPr>
              <w:keepNext w:val="0"/>
              <w:keepLines w:val="0"/>
              <w:suppressLineNumbers w:val="0"/>
              <w:spacing w:before="0" w:beforeAutospacing="0" w:after="0" w:afterAutospacing="0"/>
              <w:ind w:left="0" w:right="0"/>
              <w:jc w:val="center"/>
              <w:rPr>
                <w:b/>
                <w:sz w:val="21"/>
                <w:szCs w:val="21"/>
              </w:rPr>
            </w:pPr>
            <w:r>
              <w:rPr>
                <w:b/>
                <w:sz w:val="21"/>
                <w:szCs w:val="21"/>
              </w:rPr>
              <w:t>表4-2  《饮食业油烟排放标准》</w:t>
            </w:r>
          </w:p>
          <w:tbl>
            <w:tblPr>
              <w:tblStyle w:val="2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681"/>
              <w:gridCol w:w="1785"/>
              <w:gridCol w:w="1644"/>
              <w:gridCol w:w="1005"/>
            </w:tblGrid>
            <w:tr w14:paraId="0513B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 w:hRule="atLeast"/>
                <w:jc w:val="center"/>
              </w:trPr>
              <w:tc>
                <w:tcPr>
                  <w:tcW w:w="2268" w:type="pct"/>
                </w:tcPr>
                <w:p w14:paraId="275F6D3E">
                  <w:pPr>
                    <w:keepNext w:val="0"/>
                    <w:keepLines w:val="0"/>
                    <w:widowControl/>
                    <w:suppressLineNumbers w:val="0"/>
                    <w:spacing w:before="0" w:beforeAutospacing="0" w:after="0" w:afterAutospacing="0" w:line="320" w:lineRule="exact"/>
                    <w:ind w:left="0" w:right="0"/>
                    <w:jc w:val="center"/>
                    <w:rPr>
                      <w:szCs w:val="21"/>
                    </w:rPr>
                  </w:pPr>
                  <w:r>
                    <w:rPr>
                      <w:szCs w:val="21"/>
                    </w:rPr>
                    <w:t>规  模</w:t>
                  </w:r>
                </w:p>
              </w:tc>
              <w:tc>
                <w:tcPr>
                  <w:tcW w:w="1100" w:type="pct"/>
                </w:tcPr>
                <w:p w14:paraId="75988B89">
                  <w:pPr>
                    <w:keepNext w:val="0"/>
                    <w:keepLines w:val="0"/>
                    <w:widowControl/>
                    <w:suppressLineNumbers w:val="0"/>
                    <w:spacing w:before="0" w:beforeAutospacing="0" w:after="0" w:afterAutospacing="0" w:line="320" w:lineRule="exact"/>
                    <w:ind w:left="0" w:right="0"/>
                    <w:jc w:val="center"/>
                    <w:rPr>
                      <w:szCs w:val="21"/>
                    </w:rPr>
                  </w:pPr>
                  <w:r>
                    <w:rPr>
                      <w:szCs w:val="21"/>
                    </w:rPr>
                    <w:t>小  型</w:t>
                  </w:r>
                </w:p>
              </w:tc>
              <w:tc>
                <w:tcPr>
                  <w:tcW w:w="1013" w:type="pct"/>
                </w:tcPr>
                <w:p w14:paraId="1435F535">
                  <w:pPr>
                    <w:keepNext w:val="0"/>
                    <w:keepLines w:val="0"/>
                    <w:widowControl/>
                    <w:suppressLineNumbers w:val="0"/>
                    <w:spacing w:before="0" w:beforeAutospacing="0" w:after="0" w:afterAutospacing="0" w:line="320" w:lineRule="exact"/>
                    <w:ind w:left="0" w:right="0"/>
                    <w:jc w:val="center"/>
                    <w:rPr>
                      <w:szCs w:val="21"/>
                    </w:rPr>
                  </w:pPr>
                  <w:r>
                    <w:rPr>
                      <w:szCs w:val="21"/>
                    </w:rPr>
                    <w:t>中  型</w:t>
                  </w:r>
                </w:p>
              </w:tc>
              <w:tc>
                <w:tcPr>
                  <w:tcW w:w="619" w:type="pct"/>
                </w:tcPr>
                <w:p w14:paraId="26001351">
                  <w:pPr>
                    <w:keepNext w:val="0"/>
                    <w:keepLines w:val="0"/>
                    <w:widowControl/>
                    <w:suppressLineNumbers w:val="0"/>
                    <w:spacing w:before="0" w:beforeAutospacing="0" w:after="0" w:afterAutospacing="0" w:line="320" w:lineRule="exact"/>
                    <w:ind w:left="0" w:right="0"/>
                    <w:jc w:val="center"/>
                    <w:rPr>
                      <w:szCs w:val="21"/>
                    </w:rPr>
                  </w:pPr>
                  <w:r>
                    <w:rPr>
                      <w:szCs w:val="21"/>
                    </w:rPr>
                    <w:t>大  型</w:t>
                  </w:r>
                </w:p>
              </w:tc>
            </w:tr>
            <w:tr w14:paraId="3B60F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 w:hRule="atLeast"/>
                <w:jc w:val="center"/>
              </w:trPr>
              <w:tc>
                <w:tcPr>
                  <w:tcW w:w="2268" w:type="pct"/>
                </w:tcPr>
                <w:p w14:paraId="341286E3">
                  <w:pPr>
                    <w:keepNext w:val="0"/>
                    <w:keepLines w:val="0"/>
                    <w:widowControl/>
                    <w:suppressLineNumbers w:val="0"/>
                    <w:spacing w:before="0" w:beforeAutospacing="0" w:after="0" w:afterAutospacing="0" w:line="320" w:lineRule="exact"/>
                    <w:ind w:left="0" w:right="0"/>
                    <w:jc w:val="center"/>
                    <w:rPr>
                      <w:szCs w:val="21"/>
                    </w:rPr>
                  </w:pPr>
                  <w:r>
                    <w:rPr>
                      <w:szCs w:val="21"/>
                    </w:rPr>
                    <w:t>基准灶头数</w:t>
                  </w:r>
                </w:p>
              </w:tc>
              <w:tc>
                <w:tcPr>
                  <w:tcW w:w="1100" w:type="pct"/>
                </w:tcPr>
                <w:p w14:paraId="7C3D2468">
                  <w:pPr>
                    <w:keepNext w:val="0"/>
                    <w:keepLines w:val="0"/>
                    <w:widowControl/>
                    <w:suppressLineNumbers w:val="0"/>
                    <w:spacing w:before="0" w:beforeAutospacing="0" w:after="0" w:afterAutospacing="0" w:line="320" w:lineRule="exact"/>
                    <w:ind w:left="0" w:right="0"/>
                    <w:jc w:val="center"/>
                    <w:rPr>
                      <w:szCs w:val="21"/>
                    </w:rPr>
                  </w:pPr>
                  <w:r>
                    <w:rPr>
                      <w:szCs w:val="21"/>
                    </w:rPr>
                    <w:t>≥1，&lt;3</w:t>
                  </w:r>
                </w:p>
              </w:tc>
              <w:tc>
                <w:tcPr>
                  <w:tcW w:w="1013" w:type="pct"/>
                </w:tcPr>
                <w:p w14:paraId="7845087E">
                  <w:pPr>
                    <w:keepNext w:val="0"/>
                    <w:keepLines w:val="0"/>
                    <w:widowControl/>
                    <w:suppressLineNumbers w:val="0"/>
                    <w:spacing w:before="0" w:beforeAutospacing="0" w:after="0" w:afterAutospacing="0" w:line="320" w:lineRule="exact"/>
                    <w:ind w:left="0" w:right="0"/>
                    <w:jc w:val="center"/>
                    <w:rPr>
                      <w:szCs w:val="21"/>
                    </w:rPr>
                  </w:pPr>
                  <w:r>
                    <w:rPr>
                      <w:szCs w:val="21"/>
                    </w:rPr>
                    <w:t>≥3，&lt;6</w:t>
                  </w:r>
                </w:p>
              </w:tc>
              <w:tc>
                <w:tcPr>
                  <w:tcW w:w="619" w:type="pct"/>
                </w:tcPr>
                <w:p w14:paraId="7D3062AD">
                  <w:pPr>
                    <w:keepNext w:val="0"/>
                    <w:keepLines w:val="0"/>
                    <w:widowControl/>
                    <w:suppressLineNumbers w:val="0"/>
                    <w:spacing w:before="0" w:beforeAutospacing="0" w:after="0" w:afterAutospacing="0" w:line="320" w:lineRule="exact"/>
                    <w:ind w:left="0" w:right="0"/>
                    <w:jc w:val="center"/>
                    <w:rPr>
                      <w:szCs w:val="21"/>
                    </w:rPr>
                  </w:pPr>
                  <w:r>
                    <w:rPr>
                      <w:szCs w:val="21"/>
                    </w:rPr>
                    <w:t>≥6</w:t>
                  </w:r>
                </w:p>
              </w:tc>
            </w:tr>
            <w:tr w14:paraId="43C17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9" w:hRule="atLeast"/>
                <w:jc w:val="center"/>
              </w:trPr>
              <w:tc>
                <w:tcPr>
                  <w:tcW w:w="2268" w:type="pct"/>
                </w:tcPr>
                <w:p w14:paraId="4DDEF85F">
                  <w:pPr>
                    <w:keepNext w:val="0"/>
                    <w:keepLines w:val="0"/>
                    <w:widowControl/>
                    <w:suppressLineNumbers w:val="0"/>
                    <w:spacing w:before="0" w:beforeAutospacing="0" w:after="0" w:afterAutospacing="0" w:line="320" w:lineRule="exact"/>
                    <w:ind w:left="0" w:right="0"/>
                    <w:jc w:val="center"/>
                    <w:rPr>
                      <w:szCs w:val="21"/>
                    </w:rPr>
                  </w:pPr>
                  <w:r>
                    <w:rPr>
                      <w:szCs w:val="21"/>
                    </w:rPr>
                    <w:t>对应灶头总功率（10</w:t>
                  </w:r>
                  <w:r>
                    <w:rPr>
                      <w:szCs w:val="21"/>
                      <w:vertAlign w:val="superscript"/>
                    </w:rPr>
                    <w:t>8</w:t>
                  </w:r>
                  <w:r>
                    <w:rPr>
                      <w:szCs w:val="21"/>
                    </w:rPr>
                    <w:t>J/h）</w:t>
                  </w:r>
                </w:p>
              </w:tc>
              <w:tc>
                <w:tcPr>
                  <w:tcW w:w="1100" w:type="pct"/>
                </w:tcPr>
                <w:p w14:paraId="423759AD">
                  <w:pPr>
                    <w:keepNext w:val="0"/>
                    <w:keepLines w:val="0"/>
                    <w:widowControl/>
                    <w:suppressLineNumbers w:val="0"/>
                    <w:spacing w:before="0" w:beforeAutospacing="0" w:after="0" w:afterAutospacing="0" w:line="320" w:lineRule="exact"/>
                    <w:ind w:left="0" w:right="0"/>
                    <w:jc w:val="center"/>
                    <w:rPr>
                      <w:szCs w:val="21"/>
                    </w:rPr>
                  </w:pPr>
                  <w:r>
                    <w:rPr>
                      <w:szCs w:val="21"/>
                    </w:rPr>
                    <w:t>≥1.67，&lt;5.00</w:t>
                  </w:r>
                </w:p>
              </w:tc>
              <w:tc>
                <w:tcPr>
                  <w:tcW w:w="1013" w:type="pct"/>
                </w:tcPr>
                <w:p w14:paraId="074B8D60">
                  <w:pPr>
                    <w:keepNext w:val="0"/>
                    <w:keepLines w:val="0"/>
                    <w:widowControl/>
                    <w:suppressLineNumbers w:val="0"/>
                    <w:spacing w:before="0" w:beforeAutospacing="0" w:after="0" w:afterAutospacing="0" w:line="320" w:lineRule="exact"/>
                    <w:ind w:left="0" w:right="0"/>
                    <w:jc w:val="center"/>
                    <w:rPr>
                      <w:szCs w:val="21"/>
                    </w:rPr>
                  </w:pPr>
                  <w:r>
                    <w:rPr>
                      <w:szCs w:val="21"/>
                    </w:rPr>
                    <w:t>≥5.00，&lt;10</w:t>
                  </w:r>
                </w:p>
              </w:tc>
              <w:tc>
                <w:tcPr>
                  <w:tcW w:w="619" w:type="pct"/>
                </w:tcPr>
                <w:p w14:paraId="6D04CC95">
                  <w:pPr>
                    <w:keepNext w:val="0"/>
                    <w:keepLines w:val="0"/>
                    <w:widowControl/>
                    <w:suppressLineNumbers w:val="0"/>
                    <w:spacing w:before="0" w:beforeAutospacing="0" w:after="0" w:afterAutospacing="0" w:line="320" w:lineRule="exact"/>
                    <w:ind w:left="0" w:right="0"/>
                    <w:jc w:val="center"/>
                    <w:rPr>
                      <w:szCs w:val="21"/>
                    </w:rPr>
                  </w:pPr>
                  <w:r>
                    <w:rPr>
                      <w:szCs w:val="21"/>
                    </w:rPr>
                    <w:t>≥10</w:t>
                  </w:r>
                </w:p>
              </w:tc>
            </w:tr>
            <w:tr w14:paraId="5CAAF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9" w:hRule="atLeast"/>
                <w:jc w:val="center"/>
              </w:trPr>
              <w:tc>
                <w:tcPr>
                  <w:tcW w:w="2268" w:type="pct"/>
                </w:tcPr>
                <w:p w14:paraId="30948D3D">
                  <w:pPr>
                    <w:keepNext w:val="0"/>
                    <w:keepLines w:val="0"/>
                    <w:widowControl/>
                    <w:suppressLineNumbers w:val="0"/>
                    <w:spacing w:before="0" w:beforeAutospacing="0" w:after="0" w:afterAutospacing="0" w:line="320" w:lineRule="exact"/>
                    <w:ind w:left="0" w:right="0"/>
                    <w:jc w:val="center"/>
                    <w:rPr>
                      <w:szCs w:val="21"/>
                    </w:rPr>
                  </w:pPr>
                  <w:r>
                    <w:rPr>
                      <w:szCs w:val="21"/>
                    </w:rPr>
                    <w:t>对应排气罩灶面总投影面积（m</w:t>
                  </w:r>
                  <w:r>
                    <w:rPr>
                      <w:szCs w:val="21"/>
                      <w:vertAlign w:val="superscript"/>
                    </w:rPr>
                    <w:t>2</w:t>
                  </w:r>
                  <w:r>
                    <w:rPr>
                      <w:szCs w:val="21"/>
                    </w:rPr>
                    <w:t>）</w:t>
                  </w:r>
                </w:p>
              </w:tc>
              <w:tc>
                <w:tcPr>
                  <w:tcW w:w="1100" w:type="pct"/>
                </w:tcPr>
                <w:p w14:paraId="3D5FA3E9">
                  <w:pPr>
                    <w:keepNext w:val="0"/>
                    <w:keepLines w:val="0"/>
                    <w:widowControl/>
                    <w:suppressLineNumbers w:val="0"/>
                    <w:spacing w:before="0" w:beforeAutospacing="0" w:after="0" w:afterAutospacing="0" w:line="320" w:lineRule="exact"/>
                    <w:ind w:left="0" w:right="0"/>
                    <w:jc w:val="center"/>
                    <w:rPr>
                      <w:szCs w:val="21"/>
                    </w:rPr>
                  </w:pPr>
                  <w:r>
                    <w:rPr>
                      <w:szCs w:val="21"/>
                    </w:rPr>
                    <w:t>≥1.1，&lt;3.3</w:t>
                  </w:r>
                </w:p>
              </w:tc>
              <w:tc>
                <w:tcPr>
                  <w:tcW w:w="1013" w:type="pct"/>
                </w:tcPr>
                <w:p w14:paraId="70686EBD">
                  <w:pPr>
                    <w:keepNext w:val="0"/>
                    <w:keepLines w:val="0"/>
                    <w:widowControl/>
                    <w:suppressLineNumbers w:val="0"/>
                    <w:spacing w:before="0" w:beforeAutospacing="0" w:after="0" w:afterAutospacing="0" w:line="320" w:lineRule="exact"/>
                    <w:ind w:left="0" w:right="0"/>
                    <w:jc w:val="center"/>
                    <w:rPr>
                      <w:szCs w:val="21"/>
                    </w:rPr>
                  </w:pPr>
                  <w:r>
                    <w:rPr>
                      <w:szCs w:val="21"/>
                    </w:rPr>
                    <w:t>≥3.3，&lt;6.6</w:t>
                  </w:r>
                </w:p>
              </w:tc>
              <w:tc>
                <w:tcPr>
                  <w:tcW w:w="619" w:type="pct"/>
                </w:tcPr>
                <w:p w14:paraId="3E456F19">
                  <w:pPr>
                    <w:keepNext w:val="0"/>
                    <w:keepLines w:val="0"/>
                    <w:widowControl/>
                    <w:suppressLineNumbers w:val="0"/>
                    <w:spacing w:before="0" w:beforeAutospacing="0" w:after="0" w:afterAutospacing="0" w:line="320" w:lineRule="exact"/>
                    <w:ind w:left="0" w:right="0"/>
                    <w:jc w:val="center"/>
                    <w:rPr>
                      <w:szCs w:val="21"/>
                    </w:rPr>
                  </w:pPr>
                  <w:r>
                    <w:rPr>
                      <w:szCs w:val="21"/>
                    </w:rPr>
                    <w:t>≥6.6</w:t>
                  </w:r>
                </w:p>
              </w:tc>
            </w:tr>
            <w:tr w14:paraId="3EB9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2268" w:type="pct"/>
                </w:tcPr>
                <w:p w14:paraId="1BD8297A">
                  <w:pPr>
                    <w:keepNext w:val="0"/>
                    <w:keepLines w:val="0"/>
                    <w:widowControl/>
                    <w:suppressLineNumbers w:val="0"/>
                    <w:spacing w:before="0" w:beforeAutospacing="0" w:after="0" w:afterAutospacing="0" w:line="320" w:lineRule="exact"/>
                    <w:ind w:left="0" w:right="0"/>
                    <w:jc w:val="center"/>
                    <w:rPr>
                      <w:szCs w:val="21"/>
                    </w:rPr>
                  </w:pPr>
                  <w:r>
                    <w:rPr>
                      <w:szCs w:val="21"/>
                    </w:rPr>
                    <w:t>最高允许排放浓度（mg/m</w:t>
                  </w:r>
                  <w:r>
                    <w:rPr>
                      <w:szCs w:val="21"/>
                      <w:vertAlign w:val="superscript"/>
                    </w:rPr>
                    <w:t>3</w:t>
                  </w:r>
                  <w:r>
                    <w:rPr>
                      <w:szCs w:val="21"/>
                    </w:rPr>
                    <w:t>）</w:t>
                  </w:r>
                </w:p>
              </w:tc>
              <w:tc>
                <w:tcPr>
                  <w:tcW w:w="2732" w:type="pct"/>
                  <w:gridSpan w:val="3"/>
                </w:tcPr>
                <w:p w14:paraId="4D77DE0D">
                  <w:pPr>
                    <w:keepNext w:val="0"/>
                    <w:keepLines w:val="0"/>
                    <w:widowControl/>
                    <w:suppressLineNumbers w:val="0"/>
                    <w:spacing w:before="0" w:beforeAutospacing="0" w:after="0" w:afterAutospacing="0" w:line="320" w:lineRule="exact"/>
                    <w:ind w:left="0" w:right="0"/>
                    <w:jc w:val="center"/>
                    <w:rPr>
                      <w:szCs w:val="21"/>
                    </w:rPr>
                  </w:pPr>
                  <w:r>
                    <w:rPr>
                      <w:szCs w:val="21"/>
                    </w:rPr>
                    <w:t>2.0</w:t>
                  </w:r>
                </w:p>
              </w:tc>
            </w:tr>
            <w:tr w14:paraId="0F563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 w:hRule="atLeast"/>
                <w:jc w:val="center"/>
              </w:trPr>
              <w:tc>
                <w:tcPr>
                  <w:tcW w:w="2268" w:type="pct"/>
                </w:tcPr>
                <w:p w14:paraId="2F919CE4">
                  <w:pPr>
                    <w:keepNext w:val="0"/>
                    <w:keepLines w:val="0"/>
                    <w:widowControl/>
                    <w:suppressLineNumbers w:val="0"/>
                    <w:spacing w:before="0" w:beforeAutospacing="0" w:after="0" w:afterAutospacing="0" w:line="320" w:lineRule="exact"/>
                    <w:ind w:left="0" w:right="0"/>
                    <w:jc w:val="center"/>
                    <w:rPr>
                      <w:szCs w:val="21"/>
                    </w:rPr>
                  </w:pPr>
                  <w:r>
                    <w:rPr>
                      <w:szCs w:val="21"/>
                    </w:rPr>
                    <w:t>净化设施最低去除率（%）</w:t>
                  </w:r>
                </w:p>
              </w:tc>
              <w:tc>
                <w:tcPr>
                  <w:tcW w:w="1100" w:type="pct"/>
                </w:tcPr>
                <w:p w14:paraId="34724F23">
                  <w:pPr>
                    <w:keepNext w:val="0"/>
                    <w:keepLines w:val="0"/>
                    <w:widowControl/>
                    <w:suppressLineNumbers w:val="0"/>
                    <w:spacing w:before="0" w:beforeAutospacing="0" w:after="0" w:afterAutospacing="0" w:line="320" w:lineRule="exact"/>
                    <w:ind w:left="0" w:right="0"/>
                    <w:jc w:val="center"/>
                    <w:rPr>
                      <w:szCs w:val="21"/>
                    </w:rPr>
                  </w:pPr>
                  <w:r>
                    <w:rPr>
                      <w:szCs w:val="21"/>
                    </w:rPr>
                    <w:t>60</w:t>
                  </w:r>
                </w:p>
              </w:tc>
              <w:tc>
                <w:tcPr>
                  <w:tcW w:w="1013" w:type="pct"/>
                </w:tcPr>
                <w:p w14:paraId="1DCF2B6F">
                  <w:pPr>
                    <w:keepNext w:val="0"/>
                    <w:keepLines w:val="0"/>
                    <w:widowControl/>
                    <w:suppressLineNumbers w:val="0"/>
                    <w:spacing w:before="0" w:beforeAutospacing="0" w:after="0" w:afterAutospacing="0" w:line="320" w:lineRule="exact"/>
                    <w:ind w:left="0" w:right="0"/>
                    <w:jc w:val="center"/>
                    <w:rPr>
                      <w:szCs w:val="21"/>
                    </w:rPr>
                  </w:pPr>
                  <w:r>
                    <w:rPr>
                      <w:szCs w:val="21"/>
                    </w:rPr>
                    <w:t>75</w:t>
                  </w:r>
                </w:p>
              </w:tc>
              <w:tc>
                <w:tcPr>
                  <w:tcW w:w="619" w:type="pct"/>
                </w:tcPr>
                <w:p w14:paraId="3C822D36">
                  <w:pPr>
                    <w:keepNext w:val="0"/>
                    <w:keepLines w:val="0"/>
                    <w:widowControl/>
                    <w:suppressLineNumbers w:val="0"/>
                    <w:spacing w:before="0" w:beforeAutospacing="0" w:after="0" w:afterAutospacing="0" w:line="320" w:lineRule="exact"/>
                    <w:ind w:left="0" w:right="0"/>
                    <w:jc w:val="center"/>
                    <w:rPr>
                      <w:szCs w:val="21"/>
                    </w:rPr>
                  </w:pPr>
                  <w:r>
                    <w:rPr>
                      <w:szCs w:val="21"/>
                    </w:rPr>
                    <w:t>85</w:t>
                  </w:r>
                </w:p>
              </w:tc>
            </w:tr>
          </w:tbl>
          <w:p w14:paraId="1C6A63D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sz w:val="24"/>
                <w:lang w:val="zh-CN"/>
              </w:rPr>
            </w:pPr>
            <w:r>
              <w:rPr>
                <w:sz w:val="24"/>
                <w:lang w:val="zh-CN"/>
              </w:rPr>
              <w:t>本环评要求食堂安装油烟净化器1套，集气罩风量为</w:t>
            </w:r>
            <w:r>
              <w:rPr>
                <w:sz w:val="24"/>
              </w:rPr>
              <w:t>3</w:t>
            </w:r>
            <w:r>
              <w:rPr>
                <w:sz w:val="24"/>
                <w:lang w:val="zh-CN"/>
              </w:rPr>
              <w:t>000m</w:t>
            </w:r>
            <w:r>
              <w:rPr>
                <w:sz w:val="24"/>
                <w:vertAlign w:val="superscript"/>
                <w:lang w:val="zh-CN"/>
              </w:rPr>
              <w:t>3</w:t>
            </w:r>
            <w:r>
              <w:rPr>
                <w:sz w:val="24"/>
                <w:lang w:val="zh-CN"/>
              </w:rPr>
              <w:t>/h，油烟净化器处理效率为60%，油烟排放量0.00</w:t>
            </w:r>
            <w:r>
              <w:rPr>
                <w:sz w:val="24"/>
              </w:rPr>
              <w:t>2</w:t>
            </w:r>
            <w:r>
              <w:rPr>
                <w:rFonts w:hint="eastAsia"/>
                <w:sz w:val="24"/>
              </w:rPr>
              <w:t>6</w:t>
            </w:r>
            <w:r>
              <w:rPr>
                <w:sz w:val="24"/>
                <w:lang w:val="zh-CN"/>
              </w:rPr>
              <w:t>t/a，排放速率0.00</w:t>
            </w:r>
            <w:r>
              <w:rPr>
                <w:sz w:val="24"/>
              </w:rPr>
              <w:t>2</w:t>
            </w:r>
            <w:r>
              <w:rPr>
                <w:rFonts w:hint="eastAsia"/>
                <w:sz w:val="24"/>
              </w:rPr>
              <w:t>3</w:t>
            </w:r>
            <w:r>
              <w:rPr>
                <w:sz w:val="24"/>
                <w:lang w:val="zh-CN"/>
              </w:rPr>
              <w:t>kg/h，排放浓度</w:t>
            </w:r>
            <w:r>
              <w:rPr>
                <w:sz w:val="24"/>
              </w:rPr>
              <w:t>0.</w:t>
            </w:r>
            <w:r>
              <w:rPr>
                <w:rFonts w:hint="eastAsia"/>
                <w:sz w:val="24"/>
              </w:rPr>
              <w:t>867</w:t>
            </w:r>
            <w:r>
              <w:rPr>
                <w:sz w:val="24"/>
                <w:lang w:val="zh-CN"/>
              </w:rPr>
              <w:t>mg/m</w:t>
            </w:r>
            <w:r>
              <w:rPr>
                <w:sz w:val="24"/>
                <w:vertAlign w:val="superscript"/>
                <w:lang w:val="zh-CN"/>
              </w:rPr>
              <w:t>3</w:t>
            </w:r>
            <w:r>
              <w:rPr>
                <w:sz w:val="24"/>
                <w:lang w:val="zh-CN"/>
              </w:rPr>
              <w:t>。</w:t>
            </w:r>
          </w:p>
          <w:p w14:paraId="50E89D0F">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1.</w:t>
            </w:r>
            <w:r>
              <w:rPr>
                <w:b/>
                <w:sz w:val="24"/>
              </w:rPr>
              <w:t>2</w:t>
            </w:r>
            <w:r>
              <w:rPr>
                <w:b/>
                <w:sz w:val="24"/>
                <w:lang w:val="zh-CN"/>
              </w:rPr>
              <w:t>排放标准</w:t>
            </w:r>
          </w:p>
          <w:p w14:paraId="104C1EE7">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食堂油烟执行《饮食业油烟排放标准（试行）</w:t>
            </w:r>
            <w:r>
              <w:rPr>
                <w:rFonts w:hint="eastAsia"/>
                <w:sz w:val="24"/>
                <w:lang w:val="zh-CN"/>
              </w:rPr>
              <w:t>》</w:t>
            </w:r>
            <w:r>
              <w:rPr>
                <w:sz w:val="24"/>
                <w:lang w:val="zh-CN"/>
              </w:rPr>
              <w:t>（GB18483-2001）要求：最高允许排放浓度2.0mg/m</w:t>
            </w:r>
            <w:r>
              <w:rPr>
                <w:sz w:val="24"/>
                <w:vertAlign w:val="superscript"/>
                <w:lang w:val="zh-CN"/>
              </w:rPr>
              <w:t>3</w:t>
            </w:r>
            <w:r>
              <w:rPr>
                <w:sz w:val="24"/>
                <w:lang w:val="zh-CN"/>
              </w:rPr>
              <w:t>。</w:t>
            </w:r>
          </w:p>
          <w:p w14:paraId="107A00AB">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1.</w:t>
            </w:r>
            <w:r>
              <w:rPr>
                <w:b/>
                <w:sz w:val="24"/>
              </w:rPr>
              <w:t>3</w:t>
            </w:r>
            <w:r>
              <w:rPr>
                <w:b/>
                <w:sz w:val="24"/>
                <w:lang w:val="zh-CN"/>
              </w:rPr>
              <w:t>本项目拟采用的废气治理措施</w:t>
            </w:r>
          </w:p>
          <w:p w14:paraId="10B6EFB3">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本环评要求食堂安装油烟净化器1套，集气罩风量为</w:t>
            </w:r>
            <w:r>
              <w:rPr>
                <w:sz w:val="24"/>
              </w:rPr>
              <w:t>3</w:t>
            </w:r>
            <w:r>
              <w:rPr>
                <w:sz w:val="24"/>
                <w:lang w:val="zh-CN"/>
              </w:rPr>
              <w:t>000m</w:t>
            </w:r>
            <w:r>
              <w:rPr>
                <w:sz w:val="24"/>
                <w:vertAlign w:val="superscript"/>
                <w:lang w:val="zh-CN"/>
              </w:rPr>
              <w:t>3</w:t>
            </w:r>
            <w:r>
              <w:rPr>
                <w:sz w:val="24"/>
                <w:lang w:val="zh-CN"/>
              </w:rPr>
              <w:t>/h，油烟净化器处理效率为60%，本项目油烟经过处理后，满足《饮食业油烟排放标准（试行）</w:t>
            </w:r>
            <w:r>
              <w:rPr>
                <w:rFonts w:hint="eastAsia"/>
                <w:sz w:val="24"/>
                <w:lang w:val="zh-CN"/>
              </w:rPr>
              <w:t>》</w:t>
            </w:r>
            <w:r>
              <w:rPr>
                <w:sz w:val="24"/>
                <w:lang w:val="zh-CN"/>
              </w:rPr>
              <w:t>（GB18483-2001）要求：最高允许排放浓度2.0mg/m</w:t>
            </w:r>
            <w:r>
              <w:rPr>
                <w:sz w:val="24"/>
                <w:vertAlign w:val="superscript"/>
                <w:lang w:val="zh-CN"/>
              </w:rPr>
              <w:t>3</w:t>
            </w:r>
            <w:r>
              <w:rPr>
                <w:sz w:val="24"/>
                <w:lang w:val="zh-CN"/>
              </w:rPr>
              <w:t>后，由烟道引至屋顶排出（排烟道高出屋顶0.5m）。</w:t>
            </w:r>
          </w:p>
          <w:p w14:paraId="4A09C2CA">
            <w:pPr>
              <w:keepNext w:val="0"/>
              <w:keepLines w:val="0"/>
              <w:suppressLineNumbers w:val="0"/>
              <w:autoSpaceDE w:val="0"/>
              <w:autoSpaceDN w:val="0"/>
              <w:snapToGrid w:val="0"/>
              <w:spacing w:before="0" w:beforeAutospacing="0" w:after="0" w:afterAutospacing="0" w:line="360" w:lineRule="auto"/>
              <w:ind w:left="0" w:right="0"/>
              <w:contextualSpacing/>
              <w:rPr>
                <w:b/>
                <w:bCs/>
                <w:sz w:val="24"/>
              </w:rPr>
            </w:pPr>
            <w:r>
              <w:rPr>
                <w:rFonts w:hint="eastAsia"/>
                <w:b/>
                <w:bCs/>
                <w:sz w:val="24"/>
              </w:rPr>
              <w:t>2、</w:t>
            </w:r>
            <w:r>
              <w:rPr>
                <w:b/>
                <w:bCs/>
                <w:sz w:val="24"/>
              </w:rPr>
              <w:t>运营期水环境影响分析</w:t>
            </w:r>
          </w:p>
          <w:p w14:paraId="7B783445">
            <w:pPr>
              <w:keepNext w:val="0"/>
              <w:keepLines w:val="0"/>
              <w:suppressLineNumbers w:val="0"/>
              <w:spacing w:before="0" w:beforeAutospacing="0" w:after="0" w:afterAutospacing="0" w:line="360" w:lineRule="auto"/>
              <w:ind w:left="0" w:right="0" w:firstLine="480" w:firstLineChars="200"/>
              <w:rPr>
                <w:sz w:val="24"/>
              </w:rPr>
            </w:pPr>
            <w:r>
              <w:rPr>
                <w:rFonts w:hint="eastAsia"/>
                <w:sz w:val="24"/>
              </w:rPr>
              <w:t>本项目运营期间无生产用水，</w:t>
            </w:r>
            <w:r>
              <w:rPr>
                <w:sz w:val="24"/>
              </w:rPr>
              <w:t xml:space="preserve">外排废水主要为员工生活污水。生活污水排放量按照用水量的80%计算，本项目生活污水排放量为0.96m³/d，350.4m³/a。本项目生活污水水质简单，无特殊的污染因子，本项目在生活区内拟建1座地埋式一体化污水处理设备，处理能力为0.5m³/h，在食堂设置隔油池1个，食堂餐饮废水经隔油池处理后，同生活污水一并排入地埋式一体化污水处理设备，经处理后出水水质满足新疆维吾尔自治区《农村生活污水处理排放标准》（DB65 4275-2019）表2 </w:t>
            </w:r>
            <w:r>
              <w:rPr>
                <w:rFonts w:hint="eastAsia"/>
                <w:sz w:val="24"/>
              </w:rPr>
              <w:t>A</w:t>
            </w:r>
            <w:r>
              <w:rPr>
                <w:sz w:val="24"/>
              </w:rPr>
              <w:t>级水质标准后，排入项目区150m</w:t>
            </w:r>
            <w:r>
              <w:rPr>
                <w:sz w:val="24"/>
                <w:vertAlign w:val="superscript"/>
              </w:rPr>
              <w:t>3</w:t>
            </w:r>
            <w:r>
              <w:rPr>
                <w:sz w:val="24"/>
              </w:rPr>
              <w:t>防渗集水池内，夏季回用于</w:t>
            </w:r>
            <w:r>
              <w:rPr>
                <w:rFonts w:hint="eastAsia"/>
                <w:sz w:val="24"/>
              </w:rPr>
              <w:t>生活区</w:t>
            </w:r>
            <w:r>
              <w:rPr>
                <w:sz w:val="24"/>
              </w:rPr>
              <w:t>绿化，冬季暂存翌年再利用。</w:t>
            </w:r>
          </w:p>
          <w:p w14:paraId="6AFA4982">
            <w:pPr>
              <w:keepNext w:val="0"/>
              <w:keepLines w:val="0"/>
              <w:suppressLineNumbers w:val="0"/>
              <w:spacing w:before="0" w:beforeAutospacing="0" w:after="0" w:afterAutospacing="0" w:line="360" w:lineRule="auto"/>
              <w:ind w:left="0" w:right="0" w:firstLine="480" w:firstLineChars="200"/>
              <w:rPr>
                <w:sz w:val="24"/>
              </w:rPr>
            </w:pPr>
            <w:r>
              <w:rPr>
                <w:sz w:val="24"/>
              </w:rPr>
              <w:t>根据典型生活污水水质，本项目污水污染物排放情况见表4-</w:t>
            </w:r>
            <w:r>
              <w:rPr>
                <w:rFonts w:hint="eastAsia"/>
                <w:sz w:val="24"/>
              </w:rPr>
              <w:t>3</w:t>
            </w:r>
            <w:r>
              <w:rPr>
                <w:sz w:val="24"/>
              </w:rPr>
              <w:t>。</w:t>
            </w:r>
          </w:p>
          <w:p w14:paraId="4636CC15">
            <w:pPr>
              <w:keepNext w:val="0"/>
              <w:keepLines w:val="0"/>
              <w:suppressLineNumbers w:val="0"/>
              <w:spacing w:before="0" w:beforeAutospacing="0" w:after="0" w:afterAutospacing="0" w:line="360" w:lineRule="auto"/>
              <w:ind w:left="0" w:right="0" w:firstLine="422" w:firstLineChars="200"/>
              <w:jc w:val="center"/>
              <w:rPr>
                <w:b/>
                <w:sz w:val="21"/>
                <w:szCs w:val="21"/>
              </w:rPr>
            </w:pPr>
            <w:r>
              <w:rPr>
                <w:b/>
                <w:sz w:val="21"/>
                <w:szCs w:val="21"/>
              </w:rPr>
              <w:t>表4-</w:t>
            </w:r>
            <w:r>
              <w:rPr>
                <w:rFonts w:hint="eastAsia"/>
                <w:b/>
                <w:sz w:val="21"/>
                <w:szCs w:val="21"/>
              </w:rPr>
              <w:t>3</w:t>
            </w:r>
            <w:r>
              <w:rPr>
                <w:b/>
                <w:sz w:val="21"/>
                <w:szCs w:val="21"/>
              </w:rPr>
              <w:t xml:space="preserve"> </w:t>
            </w:r>
            <w:r>
              <w:rPr>
                <w:rFonts w:hint="eastAsia"/>
                <w:b/>
                <w:sz w:val="21"/>
                <w:szCs w:val="21"/>
                <w:lang w:val="en-US" w:eastAsia="zh-CN"/>
              </w:rPr>
              <w:t xml:space="preserve"> </w:t>
            </w:r>
            <w:r>
              <w:rPr>
                <w:b/>
                <w:sz w:val="21"/>
                <w:szCs w:val="21"/>
              </w:rPr>
              <w:t xml:space="preserve"> 本项目生活污水排污量一览表</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1263"/>
              <w:gridCol w:w="2800"/>
              <w:gridCol w:w="2917"/>
            </w:tblGrid>
            <w:tr w14:paraId="4ACE4FB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05" w:type="pct"/>
                  <w:vAlign w:val="center"/>
                </w:tcPr>
                <w:p w14:paraId="5B174A01">
                  <w:pPr>
                    <w:keepNext w:val="0"/>
                    <w:keepLines w:val="0"/>
                    <w:suppressLineNumbers w:val="0"/>
                    <w:spacing w:before="0" w:beforeAutospacing="0" w:after="0" w:afterAutospacing="0" w:line="240" w:lineRule="exact"/>
                    <w:ind w:left="0" w:right="0"/>
                    <w:jc w:val="center"/>
                    <w:rPr>
                      <w:szCs w:val="21"/>
                    </w:rPr>
                  </w:pPr>
                  <w:r>
                    <w:rPr>
                      <w:bCs/>
                      <w:szCs w:val="21"/>
                    </w:rPr>
                    <w:t>污水量</w:t>
                  </w:r>
                </w:p>
              </w:tc>
              <w:tc>
                <w:tcPr>
                  <w:tcW w:w="777" w:type="pct"/>
                  <w:vAlign w:val="center"/>
                </w:tcPr>
                <w:p w14:paraId="57562F49">
                  <w:pPr>
                    <w:keepNext w:val="0"/>
                    <w:keepLines w:val="0"/>
                    <w:suppressLineNumbers w:val="0"/>
                    <w:spacing w:before="0" w:beforeAutospacing="0" w:after="0" w:afterAutospacing="0" w:line="240" w:lineRule="exact"/>
                    <w:ind w:left="0" w:right="0"/>
                    <w:jc w:val="center"/>
                    <w:rPr>
                      <w:szCs w:val="21"/>
                    </w:rPr>
                  </w:pPr>
                  <w:r>
                    <w:rPr>
                      <w:szCs w:val="21"/>
                    </w:rPr>
                    <w:t>污染物名称</w:t>
                  </w:r>
                </w:p>
              </w:tc>
              <w:tc>
                <w:tcPr>
                  <w:tcW w:w="1723" w:type="pct"/>
                  <w:vAlign w:val="center"/>
                </w:tcPr>
                <w:p w14:paraId="384DA6F0">
                  <w:pPr>
                    <w:keepNext w:val="0"/>
                    <w:keepLines w:val="0"/>
                    <w:suppressLineNumbers w:val="0"/>
                    <w:spacing w:before="0" w:beforeAutospacing="0" w:after="0" w:afterAutospacing="0" w:line="240" w:lineRule="exact"/>
                    <w:ind w:left="0" w:right="0"/>
                    <w:jc w:val="center"/>
                    <w:rPr>
                      <w:szCs w:val="21"/>
                    </w:rPr>
                  </w:pPr>
                  <w:r>
                    <w:rPr>
                      <w:szCs w:val="21"/>
                    </w:rPr>
                    <w:t>处理前排放浓度及排放量</w:t>
                  </w:r>
                </w:p>
              </w:tc>
              <w:tc>
                <w:tcPr>
                  <w:tcW w:w="1795" w:type="pct"/>
                  <w:vAlign w:val="center"/>
                </w:tcPr>
                <w:p w14:paraId="40DD18F2">
                  <w:pPr>
                    <w:keepNext w:val="0"/>
                    <w:keepLines w:val="0"/>
                    <w:suppressLineNumbers w:val="0"/>
                    <w:spacing w:before="0" w:beforeAutospacing="0" w:after="0" w:afterAutospacing="0" w:line="240" w:lineRule="exact"/>
                    <w:ind w:left="0" w:right="0"/>
                    <w:jc w:val="center"/>
                    <w:rPr>
                      <w:szCs w:val="21"/>
                    </w:rPr>
                  </w:pPr>
                  <w:r>
                    <w:rPr>
                      <w:szCs w:val="21"/>
                    </w:rPr>
                    <w:t>处理后排放浓度及排放量</w:t>
                  </w:r>
                </w:p>
              </w:tc>
            </w:tr>
            <w:tr w14:paraId="36B14D6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5" w:type="pct"/>
                  <w:vMerge w:val="restart"/>
                  <w:vAlign w:val="center"/>
                </w:tcPr>
                <w:p w14:paraId="1ACC6182">
                  <w:pPr>
                    <w:keepNext w:val="0"/>
                    <w:keepLines w:val="0"/>
                    <w:suppressLineNumbers w:val="0"/>
                    <w:spacing w:before="0" w:beforeAutospacing="0" w:after="0" w:afterAutospacing="0" w:line="240" w:lineRule="exact"/>
                    <w:ind w:left="0" w:right="0"/>
                    <w:jc w:val="center"/>
                    <w:rPr>
                      <w:szCs w:val="21"/>
                    </w:rPr>
                  </w:pPr>
                  <w:r>
                    <w:rPr>
                      <w:szCs w:val="21"/>
                    </w:rPr>
                    <w:t>350.4m³/a</w:t>
                  </w:r>
                </w:p>
              </w:tc>
              <w:tc>
                <w:tcPr>
                  <w:tcW w:w="777" w:type="pct"/>
                  <w:vAlign w:val="center"/>
                </w:tcPr>
                <w:p w14:paraId="6A243C4A">
                  <w:pPr>
                    <w:keepNext w:val="0"/>
                    <w:keepLines w:val="0"/>
                    <w:suppressLineNumbers w:val="0"/>
                    <w:spacing w:before="0" w:beforeAutospacing="0" w:after="0" w:afterAutospacing="0" w:line="240" w:lineRule="exact"/>
                    <w:ind w:left="0" w:right="0"/>
                    <w:jc w:val="center"/>
                    <w:rPr>
                      <w:szCs w:val="21"/>
                    </w:rPr>
                  </w:pPr>
                  <w:r>
                    <w:rPr>
                      <w:szCs w:val="21"/>
                    </w:rPr>
                    <w:t>BOD</w:t>
                  </w:r>
                  <w:r>
                    <w:rPr>
                      <w:szCs w:val="21"/>
                      <w:vertAlign w:val="subscript"/>
                    </w:rPr>
                    <w:t>5</w:t>
                  </w:r>
                </w:p>
              </w:tc>
              <w:tc>
                <w:tcPr>
                  <w:tcW w:w="1723" w:type="pct"/>
                  <w:vAlign w:val="center"/>
                </w:tcPr>
                <w:p w14:paraId="2D97C3B7">
                  <w:pPr>
                    <w:keepNext w:val="0"/>
                    <w:keepLines w:val="0"/>
                    <w:suppressLineNumbers w:val="0"/>
                    <w:spacing w:before="0" w:beforeAutospacing="0" w:after="0" w:afterAutospacing="0" w:line="240" w:lineRule="exact"/>
                    <w:ind w:left="0" w:right="0"/>
                    <w:jc w:val="center"/>
                    <w:rPr>
                      <w:szCs w:val="21"/>
                    </w:rPr>
                  </w:pPr>
                  <w:r>
                    <w:rPr>
                      <w:szCs w:val="21"/>
                    </w:rPr>
                    <w:t>250mg/L，0.0876t/a</w:t>
                  </w:r>
                </w:p>
              </w:tc>
              <w:tc>
                <w:tcPr>
                  <w:tcW w:w="1795" w:type="pct"/>
                  <w:vAlign w:val="center"/>
                </w:tcPr>
                <w:p w14:paraId="24F89019">
                  <w:pPr>
                    <w:keepNext w:val="0"/>
                    <w:keepLines w:val="0"/>
                    <w:suppressLineNumbers w:val="0"/>
                    <w:spacing w:before="0" w:beforeAutospacing="0" w:after="0" w:afterAutospacing="0" w:line="240" w:lineRule="exact"/>
                    <w:ind w:left="0" w:right="0"/>
                    <w:jc w:val="center"/>
                    <w:rPr>
                      <w:szCs w:val="21"/>
                    </w:rPr>
                  </w:pPr>
                  <w:r>
                    <w:rPr>
                      <w:szCs w:val="21"/>
                    </w:rPr>
                    <w:t>30mg/L，0.0105t/a</w:t>
                  </w:r>
                </w:p>
              </w:tc>
            </w:tr>
            <w:tr w14:paraId="366DFD1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05" w:type="pct"/>
                  <w:vMerge w:val="continue"/>
                  <w:vAlign w:val="center"/>
                </w:tcPr>
                <w:p w14:paraId="7495D775">
                  <w:pPr>
                    <w:keepNext w:val="0"/>
                    <w:keepLines w:val="0"/>
                    <w:suppressLineNumbers w:val="0"/>
                    <w:spacing w:before="0" w:beforeAutospacing="0" w:after="0" w:afterAutospacing="0" w:line="240" w:lineRule="exact"/>
                    <w:ind w:left="0" w:right="0"/>
                    <w:jc w:val="center"/>
                    <w:rPr>
                      <w:szCs w:val="21"/>
                    </w:rPr>
                  </w:pPr>
                </w:p>
              </w:tc>
              <w:tc>
                <w:tcPr>
                  <w:tcW w:w="777" w:type="pct"/>
                  <w:vAlign w:val="center"/>
                </w:tcPr>
                <w:p w14:paraId="5DEE2056">
                  <w:pPr>
                    <w:keepNext w:val="0"/>
                    <w:keepLines w:val="0"/>
                    <w:suppressLineNumbers w:val="0"/>
                    <w:spacing w:before="0" w:beforeAutospacing="0" w:after="0" w:afterAutospacing="0" w:line="240" w:lineRule="exact"/>
                    <w:ind w:left="0" w:right="0"/>
                    <w:jc w:val="center"/>
                    <w:rPr>
                      <w:szCs w:val="21"/>
                    </w:rPr>
                  </w:pPr>
                  <w:r>
                    <w:rPr>
                      <w:szCs w:val="21"/>
                    </w:rPr>
                    <w:t>COD</w:t>
                  </w:r>
                  <w:r>
                    <w:rPr>
                      <w:szCs w:val="21"/>
                      <w:vertAlign w:val="subscript"/>
                    </w:rPr>
                    <w:t>cr</w:t>
                  </w:r>
                </w:p>
              </w:tc>
              <w:tc>
                <w:tcPr>
                  <w:tcW w:w="1723" w:type="pct"/>
                  <w:vAlign w:val="center"/>
                </w:tcPr>
                <w:p w14:paraId="6B76AF12">
                  <w:pPr>
                    <w:keepNext w:val="0"/>
                    <w:keepLines w:val="0"/>
                    <w:suppressLineNumbers w:val="0"/>
                    <w:spacing w:before="0" w:beforeAutospacing="0" w:after="0" w:afterAutospacing="0" w:line="240" w:lineRule="exact"/>
                    <w:ind w:left="0" w:right="0"/>
                    <w:jc w:val="center"/>
                    <w:rPr>
                      <w:szCs w:val="21"/>
                    </w:rPr>
                  </w:pPr>
                  <w:r>
                    <w:rPr>
                      <w:szCs w:val="21"/>
                    </w:rPr>
                    <w:t>295mg/L，0.1033t/a</w:t>
                  </w:r>
                </w:p>
              </w:tc>
              <w:tc>
                <w:tcPr>
                  <w:tcW w:w="1795" w:type="pct"/>
                  <w:vAlign w:val="center"/>
                </w:tcPr>
                <w:p w14:paraId="4B89B766">
                  <w:pPr>
                    <w:keepNext w:val="0"/>
                    <w:keepLines w:val="0"/>
                    <w:suppressLineNumbers w:val="0"/>
                    <w:spacing w:before="0" w:beforeAutospacing="0" w:after="0" w:afterAutospacing="0" w:line="240" w:lineRule="exact"/>
                    <w:ind w:left="0" w:right="0"/>
                    <w:jc w:val="center"/>
                    <w:rPr>
                      <w:szCs w:val="21"/>
                    </w:rPr>
                  </w:pPr>
                  <w:r>
                    <w:rPr>
                      <w:szCs w:val="21"/>
                    </w:rPr>
                    <w:t>60mg/L，0.021t/a</w:t>
                  </w:r>
                </w:p>
              </w:tc>
            </w:tr>
            <w:tr w14:paraId="49D20E5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705" w:type="pct"/>
                  <w:vMerge w:val="continue"/>
                  <w:vAlign w:val="center"/>
                </w:tcPr>
                <w:p w14:paraId="3E3D1D90">
                  <w:pPr>
                    <w:keepNext w:val="0"/>
                    <w:keepLines w:val="0"/>
                    <w:suppressLineNumbers w:val="0"/>
                    <w:spacing w:before="0" w:beforeAutospacing="0" w:after="0" w:afterAutospacing="0" w:line="240" w:lineRule="exact"/>
                    <w:ind w:left="0" w:right="0"/>
                    <w:jc w:val="center"/>
                    <w:rPr>
                      <w:szCs w:val="21"/>
                    </w:rPr>
                  </w:pPr>
                </w:p>
              </w:tc>
              <w:tc>
                <w:tcPr>
                  <w:tcW w:w="777" w:type="pct"/>
                  <w:vAlign w:val="center"/>
                </w:tcPr>
                <w:p w14:paraId="1714EEC0">
                  <w:pPr>
                    <w:keepNext w:val="0"/>
                    <w:keepLines w:val="0"/>
                    <w:suppressLineNumbers w:val="0"/>
                    <w:spacing w:before="0" w:beforeAutospacing="0" w:after="0" w:afterAutospacing="0" w:line="240" w:lineRule="exact"/>
                    <w:ind w:left="0" w:right="0"/>
                    <w:jc w:val="center"/>
                    <w:rPr>
                      <w:szCs w:val="21"/>
                    </w:rPr>
                  </w:pPr>
                  <w:r>
                    <w:rPr>
                      <w:szCs w:val="21"/>
                    </w:rPr>
                    <w:t>SS</w:t>
                  </w:r>
                </w:p>
              </w:tc>
              <w:tc>
                <w:tcPr>
                  <w:tcW w:w="1723" w:type="pct"/>
                  <w:vAlign w:val="center"/>
                </w:tcPr>
                <w:p w14:paraId="423A7229">
                  <w:pPr>
                    <w:keepNext w:val="0"/>
                    <w:keepLines w:val="0"/>
                    <w:suppressLineNumbers w:val="0"/>
                    <w:spacing w:before="0" w:beforeAutospacing="0" w:after="0" w:afterAutospacing="0" w:line="240" w:lineRule="exact"/>
                    <w:ind w:left="0" w:right="0"/>
                    <w:jc w:val="center"/>
                    <w:rPr>
                      <w:szCs w:val="21"/>
                    </w:rPr>
                  </w:pPr>
                  <w:r>
                    <w:rPr>
                      <w:szCs w:val="21"/>
                    </w:rPr>
                    <w:t>300mg/L，0.105t/a</w:t>
                  </w:r>
                </w:p>
              </w:tc>
              <w:tc>
                <w:tcPr>
                  <w:tcW w:w="1795" w:type="pct"/>
                  <w:vAlign w:val="center"/>
                </w:tcPr>
                <w:p w14:paraId="0B725B32">
                  <w:pPr>
                    <w:keepNext w:val="0"/>
                    <w:keepLines w:val="0"/>
                    <w:suppressLineNumbers w:val="0"/>
                    <w:spacing w:before="0" w:beforeAutospacing="0" w:after="0" w:afterAutospacing="0" w:line="240" w:lineRule="exact"/>
                    <w:ind w:left="0" w:right="0"/>
                    <w:jc w:val="center"/>
                    <w:rPr>
                      <w:szCs w:val="21"/>
                    </w:rPr>
                  </w:pPr>
                  <w:r>
                    <w:rPr>
                      <w:szCs w:val="21"/>
                    </w:rPr>
                    <w:t>30mg/L，0.0105t/a</w:t>
                  </w:r>
                </w:p>
              </w:tc>
            </w:tr>
            <w:tr w14:paraId="688E96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222" w:hRule="atLeast"/>
                <w:jc w:val="center"/>
              </w:trPr>
              <w:tc>
                <w:tcPr>
                  <w:tcW w:w="705" w:type="pct"/>
                  <w:vMerge w:val="continue"/>
                  <w:vAlign w:val="center"/>
                </w:tcPr>
                <w:p w14:paraId="7361276E">
                  <w:pPr>
                    <w:keepNext w:val="0"/>
                    <w:keepLines w:val="0"/>
                    <w:suppressLineNumbers w:val="0"/>
                    <w:spacing w:before="0" w:beforeAutospacing="0" w:after="0" w:afterAutospacing="0" w:line="240" w:lineRule="exact"/>
                    <w:ind w:left="0" w:right="0"/>
                    <w:jc w:val="center"/>
                    <w:rPr>
                      <w:szCs w:val="21"/>
                    </w:rPr>
                  </w:pPr>
                </w:p>
              </w:tc>
              <w:tc>
                <w:tcPr>
                  <w:tcW w:w="777" w:type="pct"/>
                  <w:vAlign w:val="center"/>
                </w:tcPr>
                <w:p w14:paraId="2A724FF5">
                  <w:pPr>
                    <w:keepNext w:val="0"/>
                    <w:keepLines w:val="0"/>
                    <w:suppressLineNumbers w:val="0"/>
                    <w:spacing w:before="0" w:beforeAutospacing="0" w:after="0" w:afterAutospacing="0" w:line="240" w:lineRule="exact"/>
                    <w:ind w:left="0" w:right="0"/>
                    <w:jc w:val="center"/>
                    <w:rPr>
                      <w:szCs w:val="21"/>
                    </w:rPr>
                  </w:pPr>
                  <w:r>
                    <w:rPr>
                      <w:szCs w:val="21"/>
                    </w:rPr>
                    <w:t>NH</w:t>
                  </w:r>
                  <w:r>
                    <w:rPr>
                      <w:szCs w:val="21"/>
                      <w:vertAlign w:val="subscript"/>
                    </w:rPr>
                    <w:t>3</w:t>
                  </w:r>
                  <w:r>
                    <w:rPr>
                      <w:szCs w:val="21"/>
                    </w:rPr>
                    <w:t>-N</w:t>
                  </w:r>
                </w:p>
              </w:tc>
              <w:tc>
                <w:tcPr>
                  <w:tcW w:w="1723" w:type="pct"/>
                  <w:vAlign w:val="center"/>
                </w:tcPr>
                <w:p w14:paraId="10A11CCE">
                  <w:pPr>
                    <w:keepNext w:val="0"/>
                    <w:keepLines w:val="0"/>
                    <w:suppressLineNumbers w:val="0"/>
                    <w:spacing w:before="0" w:beforeAutospacing="0" w:after="0" w:afterAutospacing="0" w:line="240" w:lineRule="exact"/>
                    <w:ind w:left="0" w:right="0"/>
                    <w:jc w:val="center"/>
                    <w:rPr>
                      <w:szCs w:val="21"/>
                    </w:rPr>
                  </w:pPr>
                  <w:r>
                    <w:rPr>
                      <w:szCs w:val="21"/>
                    </w:rPr>
                    <w:t>30mg/L，0.0105t/a</w:t>
                  </w:r>
                </w:p>
              </w:tc>
              <w:tc>
                <w:tcPr>
                  <w:tcW w:w="1795" w:type="pct"/>
                  <w:vAlign w:val="center"/>
                </w:tcPr>
                <w:p w14:paraId="73908170">
                  <w:pPr>
                    <w:keepNext w:val="0"/>
                    <w:keepLines w:val="0"/>
                    <w:suppressLineNumbers w:val="0"/>
                    <w:spacing w:before="0" w:beforeAutospacing="0" w:after="0" w:afterAutospacing="0" w:line="240" w:lineRule="exact"/>
                    <w:ind w:left="0" w:right="0"/>
                    <w:jc w:val="center"/>
                    <w:rPr>
                      <w:szCs w:val="21"/>
                    </w:rPr>
                  </w:pPr>
                  <w:r>
                    <w:rPr>
                      <w:szCs w:val="21"/>
                    </w:rPr>
                    <w:t>25mg/L，0.008t/a</w:t>
                  </w:r>
                </w:p>
              </w:tc>
            </w:tr>
            <w:tr w14:paraId="2A20409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222" w:hRule="atLeast"/>
                <w:jc w:val="center"/>
              </w:trPr>
              <w:tc>
                <w:tcPr>
                  <w:tcW w:w="705" w:type="pct"/>
                  <w:vMerge w:val="continue"/>
                  <w:vAlign w:val="center"/>
                </w:tcPr>
                <w:p w14:paraId="42C9A19C">
                  <w:pPr>
                    <w:keepNext w:val="0"/>
                    <w:keepLines w:val="0"/>
                    <w:suppressLineNumbers w:val="0"/>
                    <w:spacing w:before="0" w:beforeAutospacing="0" w:after="0" w:afterAutospacing="0" w:line="240" w:lineRule="exact"/>
                    <w:ind w:left="0" w:right="0"/>
                    <w:jc w:val="center"/>
                    <w:rPr>
                      <w:szCs w:val="21"/>
                    </w:rPr>
                  </w:pPr>
                </w:p>
              </w:tc>
              <w:tc>
                <w:tcPr>
                  <w:tcW w:w="777" w:type="pct"/>
                  <w:vAlign w:val="center"/>
                </w:tcPr>
                <w:p w14:paraId="60482F4A">
                  <w:pPr>
                    <w:keepNext w:val="0"/>
                    <w:keepLines w:val="0"/>
                    <w:suppressLineNumbers w:val="0"/>
                    <w:spacing w:before="0" w:beforeAutospacing="0" w:after="0" w:afterAutospacing="0" w:line="240" w:lineRule="exact"/>
                    <w:ind w:left="0" w:right="0"/>
                    <w:jc w:val="center"/>
                    <w:rPr>
                      <w:szCs w:val="21"/>
                    </w:rPr>
                  </w:pPr>
                  <w:r>
                    <w:rPr>
                      <w:szCs w:val="21"/>
                    </w:rPr>
                    <w:t>动植物油</w:t>
                  </w:r>
                </w:p>
              </w:tc>
              <w:tc>
                <w:tcPr>
                  <w:tcW w:w="1723" w:type="pct"/>
                  <w:vAlign w:val="center"/>
                </w:tcPr>
                <w:p w14:paraId="143DF1DA">
                  <w:pPr>
                    <w:keepNext w:val="0"/>
                    <w:keepLines w:val="0"/>
                    <w:suppressLineNumbers w:val="0"/>
                    <w:spacing w:before="0" w:beforeAutospacing="0" w:after="0" w:afterAutospacing="0" w:line="240" w:lineRule="exact"/>
                    <w:ind w:left="0" w:right="0"/>
                    <w:jc w:val="center"/>
                    <w:rPr>
                      <w:szCs w:val="21"/>
                    </w:rPr>
                  </w:pPr>
                  <w:r>
                    <w:rPr>
                      <w:szCs w:val="21"/>
                    </w:rPr>
                    <w:t>15mg/L，0.005t/a</w:t>
                  </w:r>
                </w:p>
              </w:tc>
              <w:tc>
                <w:tcPr>
                  <w:tcW w:w="1795" w:type="pct"/>
                  <w:vAlign w:val="center"/>
                </w:tcPr>
                <w:p w14:paraId="739BF98D">
                  <w:pPr>
                    <w:keepNext w:val="0"/>
                    <w:keepLines w:val="0"/>
                    <w:suppressLineNumbers w:val="0"/>
                    <w:spacing w:before="0" w:beforeAutospacing="0" w:after="0" w:afterAutospacing="0" w:line="240" w:lineRule="exact"/>
                    <w:ind w:left="0" w:right="0"/>
                    <w:jc w:val="center"/>
                    <w:rPr>
                      <w:szCs w:val="21"/>
                    </w:rPr>
                  </w:pPr>
                  <w:r>
                    <w:rPr>
                      <w:szCs w:val="21"/>
                    </w:rPr>
                    <w:t>8mg/L，0.0028t/a</w:t>
                  </w:r>
                </w:p>
              </w:tc>
            </w:tr>
          </w:tbl>
          <w:p w14:paraId="52FFA19E">
            <w:pPr>
              <w:keepNext w:val="0"/>
              <w:keepLines w:val="0"/>
              <w:pageBreakBefore w:val="0"/>
              <w:widowControl w:val="0"/>
              <w:suppressLineNumbers w:val="0"/>
              <w:kinsoku/>
              <w:wordWrap/>
              <w:overflowPunct/>
              <w:topLinePunct w:val="0"/>
              <w:autoSpaceDE w:val="0"/>
              <w:autoSpaceDN w:val="0"/>
              <w:bidi w:val="0"/>
              <w:adjustRightInd/>
              <w:snapToGrid w:val="0"/>
              <w:spacing w:before="157" w:beforeLines="50" w:beforeAutospacing="0" w:after="0" w:afterAutospacing="0" w:line="360" w:lineRule="auto"/>
              <w:ind w:left="0" w:right="0" w:firstLine="482"/>
              <w:contextualSpacing/>
              <w:textAlignment w:val="auto"/>
              <w:rPr>
                <w:sz w:val="24"/>
              </w:rPr>
            </w:pPr>
            <w:r>
              <w:rPr>
                <w:rFonts w:hint="eastAsia"/>
                <w:sz w:val="24"/>
              </w:rPr>
              <w:t>地埋式一体化处理设施有自由组合、适用广泛、不占用土地、运行经济等特点。接触氧化池以及水解酸化池可充分分解含油废水中的油类等有机污染物。其基本工作原理：生活污水经粗、细格栅后和经过预处理后的生产废水进入调节池，在其中达到均质、均量；然后进入初沉池以去除水中悬浮物等，进入初沉池后较大比重的悬浮物及颗粒物下沉到底部；而后进入水解酸化池，水解酸化工艺可将废水中难生物降解的有机物转变为易生物降解的有机物，提高废水的可生化性，以利于后续的好氧处理。经沉淀和水解酸化处理的废水进入接触氧化池，在池内设置填料，池底曝气对污水进行充氧，并使池体内污水处于流动状态，以保证污水与污水中的填料充分接触，避免生物接触氧化池中存在污水与填料接触不均的缺陷。接触氧化池下方分布曝气头以提升氧料，上方串挂气体弹性填料，有机物在水中利用好氧菌的作用得以去除。废水最后进入二沉池，经沉淀后外排，部分污泥回流到接触氧化池。拟建项目采用此项技术，是较为理想的方法，工艺简单，效果良好。</w:t>
            </w:r>
          </w:p>
          <w:p w14:paraId="3C3B5A85">
            <w:pPr>
              <w:keepNext w:val="0"/>
              <w:keepLines w:val="0"/>
              <w:suppressLineNumbers w:val="0"/>
              <w:autoSpaceDE w:val="0"/>
              <w:autoSpaceDN w:val="0"/>
              <w:snapToGrid w:val="0"/>
              <w:spacing w:before="0" w:beforeAutospacing="0" w:after="0" w:afterAutospacing="0" w:line="360" w:lineRule="auto"/>
              <w:ind w:left="0" w:right="0" w:firstLine="480"/>
              <w:contextualSpacing/>
              <w:rPr>
                <w:b/>
                <w:bCs/>
                <w:sz w:val="24"/>
              </w:rPr>
            </w:pPr>
            <w:r>
              <w:rPr>
                <w:rFonts w:hint="eastAsia"/>
                <w:sz w:val="24"/>
              </w:rPr>
              <w:t>通过以上措施，生活污水对周围地下水、地表水环境影响甚微。</w:t>
            </w:r>
          </w:p>
          <w:p w14:paraId="0E3823EA">
            <w:pPr>
              <w:keepNext w:val="0"/>
              <w:keepLines w:val="0"/>
              <w:suppressLineNumbers w:val="0"/>
              <w:autoSpaceDE w:val="0"/>
              <w:autoSpaceDN w:val="0"/>
              <w:snapToGrid w:val="0"/>
              <w:spacing w:before="0" w:beforeAutospacing="0" w:after="0" w:afterAutospacing="0" w:line="360" w:lineRule="auto"/>
              <w:ind w:left="0" w:right="0"/>
              <w:contextualSpacing/>
              <w:rPr>
                <w:b/>
                <w:bCs/>
                <w:sz w:val="24"/>
                <w:lang w:val="zh-CN"/>
              </w:rPr>
            </w:pPr>
            <w:r>
              <w:rPr>
                <w:rFonts w:hint="eastAsia"/>
                <w:b/>
                <w:bCs/>
                <w:sz w:val="24"/>
              </w:rPr>
              <w:t>3、</w:t>
            </w:r>
            <w:r>
              <w:rPr>
                <w:b/>
                <w:bCs/>
                <w:sz w:val="24"/>
                <w:lang w:val="zh-CN"/>
              </w:rPr>
              <w:t>运营期声环境影响分析</w:t>
            </w:r>
          </w:p>
          <w:p w14:paraId="059A7FD2">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rPr>
                <w:rFonts w:hint="eastAsia"/>
                <w:b w:val="0"/>
                <w:bCs w:val="0"/>
                <w:color w:val="000000" w:themeColor="text1"/>
                <w:sz w:val="24"/>
                <w:highlight w:val="none"/>
                <w:lang w:val="en-US" w:eastAsia="zh-CN"/>
              </w:rPr>
            </w:pPr>
            <w:r>
              <w:rPr>
                <w:rFonts w:hint="eastAsia"/>
                <w:b w:val="0"/>
                <w:bCs w:val="0"/>
                <w:color w:val="000000" w:themeColor="text1"/>
                <w:sz w:val="24"/>
                <w:lang w:val="en-US" w:eastAsia="zh-CN"/>
              </w:rPr>
              <w:t>本项目由220kV升压站、7.84km220kV输电线路和库米什220kV变电站扩建间隔组成。其中扩建间隔位于库米什220kV变电站东侧，占地2310m</w:t>
            </w:r>
            <w:r>
              <w:rPr>
                <w:rFonts w:hint="eastAsia"/>
                <w:b w:val="0"/>
                <w:bCs w:val="0"/>
                <w:color w:val="000000" w:themeColor="text1"/>
                <w:sz w:val="24"/>
                <w:vertAlign w:val="superscript"/>
                <w:lang w:val="en-US" w:eastAsia="zh-CN"/>
              </w:rPr>
              <w:t>2</w:t>
            </w:r>
            <w:r>
              <w:rPr>
                <w:rFonts w:hint="eastAsia"/>
                <w:b w:val="0"/>
                <w:bCs w:val="0"/>
                <w:color w:val="000000" w:themeColor="text1"/>
                <w:sz w:val="24"/>
                <w:lang w:val="en-US" w:eastAsia="zh-CN"/>
              </w:rPr>
              <w:t>，扩建2回220kV出线间隔</w:t>
            </w:r>
            <w:r>
              <w:rPr>
                <w:rFonts w:hint="eastAsia"/>
                <w:b w:val="0"/>
                <w:bCs w:val="0"/>
                <w:color w:val="000000" w:themeColor="text1"/>
                <w:sz w:val="24"/>
                <w:highlight w:val="none"/>
                <w:lang w:val="en-US" w:eastAsia="zh-CN"/>
              </w:rPr>
              <w:t>，本期建成1回220kV出线间隔，预留1回220kV出线间隔。出线间隔主要包含隔离开关、断路器、互感器、避雷器等设备，设备噪声较小，声环境贡献值较小，且扩建间隔周围50m范围内无声环境敏感目标，扩建间隔建成投运后对库米什220kV变电站周边声环境基本无影响，扩建间隔围墙外厂界噪声可满足《工业企业厂界环境噪声排放标准》（GB12348-2008）中2类标准要求。</w:t>
            </w:r>
          </w:p>
          <w:p w14:paraId="29137913">
            <w:pPr>
              <w:keepNext w:val="0"/>
              <w:keepLines w:val="0"/>
              <w:suppressLineNumbers w:val="0"/>
              <w:autoSpaceDE w:val="0"/>
              <w:autoSpaceDN w:val="0"/>
              <w:snapToGrid w:val="0"/>
              <w:spacing w:before="0" w:beforeAutospacing="0" w:after="0" w:afterAutospacing="0" w:line="360" w:lineRule="auto"/>
              <w:ind w:left="0" w:right="0" w:firstLine="480" w:firstLineChars="200"/>
              <w:contextualSpacing/>
              <w:rPr>
                <w:rFonts w:hint="eastAsia" w:eastAsia="宋体"/>
                <w:b w:val="0"/>
                <w:bCs w:val="0"/>
                <w:color w:val="0000FF"/>
                <w:sz w:val="24"/>
                <w:highlight w:val="none"/>
                <w:lang w:val="en-US" w:eastAsia="zh-CN"/>
              </w:rPr>
            </w:pPr>
            <w:r>
              <w:rPr>
                <w:rFonts w:hint="eastAsia"/>
                <w:b w:val="0"/>
                <w:bCs w:val="0"/>
                <w:color w:val="000000" w:themeColor="text1"/>
                <w:sz w:val="24"/>
                <w:highlight w:val="none"/>
                <w:lang w:val="en-US" w:eastAsia="zh-CN"/>
              </w:rPr>
              <w:t>以下就220kV升压站和7.84km输电线路运营期声环境影响进行分析。</w:t>
            </w:r>
          </w:p>
          <w:p w14:paraId="0B218668">
            <w:pPr>
              <w:pStyle w:val="27"/>
              <w:keepNext w:val="0"/>
              <w:keepLines w:val="0"/>
              <w:suppressLineNumbers w:val="0"/>
              <w:spacing w:before="0" w:beforeAutospacing="0" w:after="0" w:afterAutospacing="0"/>
              <w:ind w:left="0" w:right="0"/>
              <w:rPr>
                <w:rFonts w:ascii="Times New Roman" w:hAnsi="Times New Roman"/>
                <w:b/>
                <w:bCs/>
              </w:rPr>
            </w:pPr>
            <w:r>
              <w:rPr>
                <w:rFonts w:ascii="Times New Roman" w:hAnsi="Times New Roman"/>
                <w:b/>
                <w:bCs/>
              </w:rPr>
              <w:t>3.1</w:t>
            </w:r>
            <w:r>
              <w:rPr>
                <w:rFonts w:hint="eastAsia" w:ascii="Times New Roman" w:hAnsi="Times New Roman"/>
                <w:b/>
                <w:bCs/>
              </w:rPr>
              <w:t>、</w:t>
            </w:r>
            <w:r>
              <w:rPr>
                <w:rFonts w:ascii="Times New Roman" w:hAnsi="Times New Roman"/>
                <w:b/>
                <w:bCs/>
              </w:rPr>
              <w:t>220kV升压站运营期声环境影响分析</w:t>
            </w:r>
          </w:p>
          <w:p w14:paraId="7BDBFB60">
            <w:pPr>
              <w:keepNext w:val="0"/>
              <w:keepLines w:val="0"/>
              <w:suppressLineNumbers w:val="0"/>
              <w:spacing w:before="0" w:beforeAutospacing="0" w:after="0" w:afterAutospacing="0" w:line="360" w:lineRule="auto"/>
              <w:ind w:left="0" w:right="0" w:firstLine="480" w:firstLineChars="200"/>
              <w:rPr>
                <w:sz w:val="24"/>
              </w:rPr>
            </w:pPr>
            <w:r>
              <w:rPr>
                <w:sz w:val="24"/>
              </w:rPr>
              <w:t>(1)噪声污染源分析</w:t>
            </w:r>
          </w:p>
          <w:p w14:paraId="66347C3F">
            <w:pPr>
              <w:keepNext w:val="0"/>
              <w:keepLines w:val="0"/>
              <w:suppressLineNumbers w:val="0"/>
              <w:spacing w:before="0" w:beforeAutospacing="0" w:after="0" w:afterAutospacing="0" w:line="360" w:lineRule="auto"/>
              <w:ind w:left="0" w:right="0" w:firstLine="480" w:firstLineChars="200"/>
              <w:rPr>
                <w:sz w:val="24"/>
              </w:rPr>
            </w:pPr>
            <w:r>
              <w:rPr>
                <w:sz w:val="24"/>
              </w:rPr>
              <w:t>本项目生产过程中的噪声主要为220kV升压站主变压器、SVG等运行时产生的噪声，噪声值约为70-</w:t>
            </w:r>
            <w:r>
              <w:rPr>
                <w:rFonts w:hint="eastAsia"/>
                <w:sz w:val="24"/>
              </w:rPr>
              <w:t>75</w:t>
            </w:r>
            <w:r>
              <w:rPr>
                <w:sz w:val="24"/>
              </w:rPr>
              <w:t>dB(A)。主变压器为户外布置，一年四季持续运行，主要生产设备噪声声级值见下表。</w:t>
            </w:r>
          </w:p>
          <w:p w14:paraId="0001C1B4">
            <w:pPr>
              <w:keepNext w:val="0"/>
              <w:keepLines w:val="0"/>
              <w:widowControl/>
              <w:suppressLineNumbers w:val="0"/>
              <w:spacing w:before="0" w:beforeAutospacing="0" w:after="0" w:afterAutospacing="0"/>
              <w:ind w:left="0" w:right="0"/>
              <w:jc w:val="center"/>
              <w:rPr>
                <w:rFonts w:ascii="宋体" w:hAnsi="宋体" w:cs="宋体"/>
                <w:sz w:val="21"/>
                <w:szCs w:val="21"/>
              </w:rPr>
            </w:pPr>
            <w:r>
              <w:rPr>
                <w:rFonts w:hint="eastAsia" w:ascii="宋体" w:hAnsi="宋体" w:cs="宋体"/>
                <w:b/>
                <w:bCs/>
                <w:color w:val="000000"/>
                <w:kern w:val="0"/>
                <w:sz w:val="21"/>
                <w:szCs w:val="21"/>
              </w:rPr>
              <w:t>表 4-4</w:t>
            </w:r>
            <w:r>
              <w:rPr>
                <w:rFonts w:hint="eastAsia" w:ascii="宋体" w:hAnsi="宋体" w:cs="宋体"/>
                <w:b/>
                <w:bCs/>
                <w:color w:val="000000"/>
                <w:kern w:val="0"/>
                <w:sz w:val="21"/>
                <w:szCs w:val="21"/>
                <w:lang w:val="en-US" w:eastAsia="zh-CN"/>
              </w:rPr>
              <w:t xml:space="preserve">   </w:t>
            </w:r>
            <w:r>
              <w:rPr>
                <w:rFonts w:hint="eastAsia" w:ascii="宋体" w:hAnsi="宋体" w:cs="宋体"/>
                <w:b/>
                <w:bCs/>
                <w:color w:val="000000"/>
                <w:kern w:val="0"/>
                <w:sz w:val="21"/>
                <w:szCs w:val="21"/>
              </w:rPr>
              <w:t xml:space="preserve"> 项目噪声源源强特征表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2024"/>
              <w:gridCol w:w="2025"/>
              <w:gridCol w:w="2025"/>
            </w:tblGrid>
            <w:tr w14:paraId="2EAD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43B8E86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噪声源位置</w:t>
                  </w:r>
                </w:p>
              </w:tc>
              <w:tc>
                <w:tcPr>
                  <w:tcW w:w="2024" w:type="dxa"/>
                  <w:vAlign w:val="center"/>
                </w:tcPr>
                <w:p w14:paraId="67B7BF08">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设备名称</w:t>
                  </w:r>
                </w:p>
              </w:tc>
              <w:tc>
                <w:tcPr>
                  <w:tcW w:w="2025" w:type="dxa"/>
                  <w:vAlign w:val="center"/>
                </w:tcPr>
                <w:p w14:paraId="5F9D1CA0">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噪声值dB(A）</w:t>
                  </w:r>
                </w:p>
              </w:tc>
              <w:tc>
                <w:tcPr>
                  <w:tcW w:w="2025" w:type="dxa"/>
                  <w:vAlign w:val="center"/>
                </w:tcPr>
                <w:p w14:paraId="505CB8B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治理措施</w:t>
                  </w:r>
                </w:p>
              </w:tc>
            </w:tr>
            <w:tr w14:paraId="5842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Merge w:val="restart"/>
                  <w:vAlign w:val="center"/>
                </w:tcPr>
                <w:p w14:paraId="3F81ABDC">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生产区</w:t>
                  </w:r>
                </w:p>
              </w:tc>
              <w:tc>
                <w:tcPr>
                  <w:tcW w:w="2024" w:type="dxa"/>
                  <w:vAlign w:val="center"/>
                </w:tcPr>
                <w:p w14:paraId="14D49EC2">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主变压器</w:t>
                  </w:r>
                </w:p>
              </w:tc>
              <w:tc>
                <w:tcPr>
                  <w:tcW w:w="2025" w:type="dxa"/>
                  <w:vAlign w:val="center"/>
                </w:tcPr>
                <w:p w14:paraId="5EA124DB">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75</w:t>
                  </w:r>
                </w:p>
              </w:tc>
              <w:tc>
                <w:tcPr>
                  <w:tcW w:w="2025" w:type="dxa"/>
                  <w:vAlign w:val="center"/>
                </w:tcPr>
                <w:p w14:paraId="5897891E">
                  <w:pPr>
                    <w:keepNext w:val="0"/>
                    <w:keepLines w:val="0"/>
                    <w:widowControl/>
                    <w:suppressLineNumbers w:val="0"/>
                    <w:spacing w:before="0" w:beforeAutospacing="0" w:after="0" w:afterAutospacing="0"/>
                    <w:ind w:left="0" w:right="0"/>
                    <w:jc w:val="center"/>
                    <w:rPr>
                      <w:szCs w:val="21"/>
                    </w:rPr>
                  </w:pPr>
                  <w:r>
                    <w:rPr>
                      <w:color w:val="000000"/>
                      <w:kern w:val="0"/>
                      <w:szCs w:val="21"/>
                    </w:rPr>
                    <w:t>设备底座减震，距离衰减</w:t>
                  </w:r>
                </w:p>
              </w:tc>
            </w:tr>
            <w:tr w14:paraId="24C3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Merge w:val="continue"/>
                  <w:vAlign w:val="center"/>
                </w:tcPr>
                <w:p w14:paraId="38F40313">
                  <w:pPr>
                    <w:pStyle w:val="27"/>
                    <w:keepNext w:val="0"/>
                    <w:keepLines w:val="0"/>
                    <w:suppressLineNumbers w:val="0"/>
                    <w:spacing w:before="0" w:beforeAutospacing="0" w:after="0" w:afterAutospacing="0"/>
                    <w:ind w:left="0" w:right="0"/>
                    <w:jc w:val="center"/>
                    <w:rPr>
                      <w:rFonts w:ascii="Times New Roman" w:hAnsi="Times New Roman"/>
                      <w:sz w:val="21"/>
                      <w:szCs w:val="21"/>
                    </w:rPr>
                  </w:pPr>
                </w:p>
              </w:tc>
              <w:tc>
                <w:tcPr>
                  <w:tcW w:w="2024" w:type="dxa"/>
                  <w:vAlign w:val="center"/>
                </w:tcPr>
                <w:p w14:paraId="1D25E5C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SVG设备</w:t>
                  </w:r>
                </w:p>
              </w:tc>
              <w:tc>
                <w:tcPr>
                  <w:tcW w:w="2025" w:type="dxa"/>
                  <w:vAlign w:val="center"/>
                </w:tcPr>
                <w:p w14:paraId="212F361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70</w:t>
                  </w:r>
                </w:p>
              </w:tc>
              <w:tc>
                <w:tcPr>
                  <w:tcW w:w="2025" w:type="dxa"/>
                  <w:vAlign w:val="center"/>
                </w:tcPr>
                <w:p w14:paraId="590211CF">
                  <w:pPr>
                    <w:keepNext w:val="0"/>
                    <w:keepLines w:val="0"/>
                    <w:widowControl/>
                    <w:suppressLineNumbers w:val="0"/>
                    <w:spacing w:before="0" w:beforeAutospacing="0" w:after="0" w:afterAutospacing="0"/>
                    <w:ind w:left="0" w:right="0"/>
                    <w:jc w:val="center"/>
                    <w:rPr>
                      <w:szCs w:val="21"/>
                    </w:rPr>
                  </w:pPr>
                  <w:r>
                    <w:rPr>
                      <w:color w:val="000000"/>
                      <w:kern w:val="0"/>
                      <w:szCs w:val="21"/>
                    </w:rPr>
                    <w:t>设备底座减震，距离衰减</w:t>
                  </w:r>
                </w:p>
              </w:tc>
            </w:tr>
          </w:tbl>
          <w:p w14:paraId="4AC8BB8F">
            <w:pPr>
              <w:pStyle w:val="27"/>
              <w:keepNext w:val="0"/>
              <w:keepLines w:val="0"/>
              <w:suppressLineNumbers w:val="0"/>
              <w:spacing w:before="0" w:beforeAutospacing="0" w:after="0" w:afterAutospacing="0"/>
              <w:ind w:left="0" w:right="0"/>
              <w:rPr>
                <w:rFonts w:ascii="Times New Roman" w:hAnsi="Times New Roman"/>
              </w:rPr>
            </w:pPr>
          </w:p>
          <w:p w14:paraId="721C7B0E">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w:t>
            </w:r>
            <w:r>
              <w:rPr>
                <w:sz w:val="24"/>
              </w:rPr>
              <w:t>2</w:t>
            </w:r>
            <w:r>
              <w:rPr>
                <w:sz w:val="24"/>
                <w:lang w:val="zh-CN"/>
              </w:rPr>
              <w:t xml:space="preserve">）噪声影响预测 </w:t>
            </w:r>
          </w:p>
          <w:p w14:paraId="76627ECE">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选用《环境影响评价技术导则-声环境》（HJ2.4-2021）推荐的模式，其数学表达式如下：单个噪声源预测公式：</w:t>
            </w:r>
          </w:p>
          <w:p w14:paraId="57998ACC">
            <w:pPr>
              <w:keepNext w:val="0"/>
              <w:keepLines w:val="0"/>
              <w:suppressLineNumbers w:val="0"/>
              <w:spacing w:before="0" w:beforeAutospacing="0" w:after="0" w:afterAutospacing="0" w:line="360" w:lineRule="auto"/>
              <w:ind w:left="0" w:right="0" w:firstLine="420" w:firstLineChars="200"/>
              <w:rPr>
                <w:szCs w:val="21"/>
              </w:rPr>
            </w:pPr>
            <w:r>
              <w:drawing>
                <wp:inline distT="0" distB="0" distL="114300" distR="114300">
                  <wp:extent cx="3077210" cy="349250"/>
                  <wp:effectExtent l="0" t="0" r="889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cstate="print"/>
                          <a:stretch>
                            <a:fillRect/>
                          </a:stretch>
                        </pic:blipFill>
                        <pic:spPr>
                          <a:xfrm>
                            <a:off x="0" y="0"/>
                            <a:ext cx="3077210" cy="349250"/>
                          </a:xfrm>
                          <a:prstGeom prst="rect">
                            <a:avLst/>
                          </a:prstGeom>
                          <a:noFill/>
                          <a:ln>
                            <a:noFill/>
                          </a:ln>
                        </pic:spPr>
                      </pic:pic>
                    </a:graphicData>
                  </a:graphic>
                </wp:inline>
              </w:drawing>
            </w:r>
          </w:p>
          <w:p w14:paraId="5EAFCAB2">
            <w:pPr>
              <w:keepNext w:val="0"/>
              <w:keepLines w:val="0"/>
              <w:suppressLineNumbers w:val="0"/>
              <w:adjustRightInd w:val="0"/>
              <w:snapToGrid w:val="0"/>
              <w:spacing w:before="0" w:beforeAutospacing="0" w:after="0" w:afterAutospacing="0" w:line="360" w:lineRule="auto"/>
              <w:ind w:left="0" w:right="0" w:firstLine="420" w:firstLineChars="200"/>
              <w:rPr>
                <w:color w:val="FF0000"/>
                <w:szCs w:val="21"/>
                <w:lang w:val="zh-CN"/>
              </w:rPr>
            </w:pPr>
            <w:r>
              <w:rPr>
                <w:szCs w:val="21"/>
                <w:lang w:val="zh-CN"/>
              </w:rPr>
              <w:t>两个以上的多个噪声源同时存在时，总声级计算公式：</w:t>
            </w:r>
          </w:p>
          <w:p w14:paraId="4EC15104">
            <w:pPr>
              <w:keepNext w:val="0"/>
              <w:keepLines w:val="0"/>
              <w:suppressLineNumbers w:val="0"/>
              <w:adjustRightInd w:val="0"/>
              <w:snapToGrid w:val="0"/>
              <w:spacing w:before="0" w:beforeAutospacing="0" w:after="0" w:afterAutospacing="0" w:line="360" w:lineRule="auto"/>
              <w:ind w:left="0" w:right="0" w:firstLine="420" w:firstLineChars="200"/>
              <w:rPr>
                <w:color w:val="FF0000"/>
                <w:szCs w:val="21"/>
                <w:lang w:val="zh-CN"/>
              </w:rPr>
            </w:pPr>
            <w:r>
              <w:rPr>
                <w:color w:val="FF0000"/>
              </w:rPr>
              <w:drawing>
                <wp:inline distT="0" distB="0" distL="114300" distR="114300">
                  <wp:extent cx="2218055" cy="457835"/>
                  <wp:effectExtent l="0" t="0" r="1079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cstate="print"/>
                          <a:stretch>
                            <a:fillRect/>
                          </a:stretch>
                        </pic:blipFill>
                        <pic:spPr>
                          <a:xfrm>
                            <a:off x="0" y="0"/>
                            <a:ext cx="2218055" cy="457835"/>
                          </a:xfrm>
                          <a:prstGeom prst="rect">
                            <a:avLst/>
                          </a:prstGeom>
                          <a:noFill/>
                          <a:ln>
                            <a:noFill/>
                          </a:ln>
                        </pic:spPr>
                      </pic:pic>
                    </a:graphicData>
                  </a:graphic>
                </wp:inline>
              </w:drawing>
            </w:r>
          </w:p>
          <w:p w14:paraId="3948C44B">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 xml:space="preserve">式中：r—预测点到声源的距离，m； </w:t>
            </w:r>
          </w:p>
          <w:p w14:paraId="65657481">
            <w:pPr>
              <w:keepNext w:val="0"/>
              <w:keepLines w:val="0"/>
              <w:suppressLineNumbers w:val="0"/>
              <w:adjustRightInd w:val="0"/>
              <w:snapToGrid w:val="0"/>
              <w:spacing w:before="0" w:beforeAutospacing="0" w:after="0" w:afterAutospacing="0" w:line="360" w:lineRule="auto"/>
              <w:ind w:left="0" w:right="0" w:firstLine="1200" w:firstLineChars="500"/>
              <w:rPr>
                <w:sz w:val="24"/>
                <w:lang w:val="zh-CN"/>
              </w:rPr>
            </w:pPr>
            <w:r>
              <w:rPr>
                <w:sz w:val="24"/>
              </w:rPr>
              <w:t xml:space="preserve">Adiv—距离衰减，dB； </w:t>
            </w:r>
          </w:p>
          <w:p w14:paraId="3CDFC729">
            <w:pPr>
              <w:keepNext w:val="0"/>
              <w:keepLines w:val="0"/>
              <w:suppressLineNumbers w:val="0"/>
              <w:adjustRightInd w:val="0"/>
              <w:snapToGrid w:val="0"/>
              <w:spacing w:before="0" w:beforeAutospacing="0" w:after="0" w:afterAutospacing="0" w:line="360" w:lineRule="auto"/>
              <w:ind w:left="0" w:right="0" w:firstLine="1200" w:firstLineChars="500"/>
              <w:rPr>
                <w:sz w:val="24"/>
                <w:lang w:val="zh-CN"/>
              </w:rPr>
            </w:pPr>
            <w:r>
              <w:rPr>
                <w:sz w:val="24"/>
              </w:rPr>
              <w:t>Abar—</w:t>
            </w:r>
            <w:r>
              <w:rPr>
                <w:rFonts w:hint="eastAsia"/>
                <w:sz w:val="24"/>
              </w:rPr>
              <w:t>遮挡</w:t>
            </w:r>
            <w:r>
              <w:rPr>
                <w:sz w:val="24"/>
              </w:rPr>
              <w:t xml:space="preserve">物衰减，dB； </w:t>
            </w:r>
          </w:p>
          <w:p w14:paraId="0C5626B0">
            <w:pPr>
              <w:keepNext w:val="0"/>
              <w:keepLines w:val="0"/>
              <w:suppressLineNumbers w:val="0"/>
              <w:adjustRightInd w:val="0"/>
              <w:snapToGrid w:val="0"/>
              <w:spacing w:before="0" w:beforeAutospacing="0" w:after="0" w:afterAutospacing="0" w:line="360" w:lineRule="auto"/>
              <w:ind w:left="0" w:right="0" w:firstLine="1200" w:firstLineChars="500"/>
              <w:rPr>
                <w:sz w:val="24"/>
                <w:lang w:val="zh-CN"/>
              </w:rPr>
            </w:pPr>
            <w:r>
              <w:rPr>
                <w:sz w:val="24"/>
              </w:rPr>
              <w:t xml:space="preserve">Aatm—空气吸收衰减，dB； </w:t>
            </w:r>
          </w:p>
          <w:p w14:paraId="094E6BCA">
            <w:pPr>
              <w:pStyle w:val="27"/>
              <w:keepNext w:val="0"/>
              <w:keepLines w:val="0"/>
              <w:suppressLineNumbers w:val="0"/>
              <w:spacing w:before="0" w:beforeAutospacing="0" w:after="0" w:afterAutospacing="0"/>
              <w:ind w:left="0" w:right="0" w:firstLine="1200" w:firstLineChars="500"/>
              <w:rPr>
                <w:rFonts w:ascii="Times New Roman" w:hAnsi="Times New Roman"/>
                <w:color w:val="auto"/>
              </w:rPr>
            </w:pPr>
            <w:r>
              <w:rPr>
                <w:rFonts w:ascii="Times New Roman" w:hAnsi="Times New Roman"/>
                <w:color w:val="auto"/>
              </w:rPr>
              <w:t>Aexc—附加衰减，dB。</w:t>
            </w:r>
          </w:p>
          <w:p w14:paraId="3376C4D9">
            <w:pPr>
              <w:pStyle w:val="29"/>
              <w:keepNext w:val="0"/>
              <w:keepLines w:val="0"/>
              <w:suppressLineNumbers w:val="0"/>
              <w:spacing w:before="0" w:beforeAutospacing="0" w:after="0" w:afterAutospacing="0"/>
              <w:ind w:left="105" w:right="105" w:firstLine="480"/>
              <w:rPr>
                <w:rFonts w:ascii="Times New Roman" w:hAnsi="Times New Roman"/>
                <w:b w:val="0"/>
                <w:bCs w:val="0"/>
                <w:sz w:val="21"/>
                <w:szCs w:val="21"/>
              </w:rPr>
            </w:pPr>
            <w:r>
              <w:rPr>
                <w:rFonts w:ascii="Times New Roman" w:hAnsi="Times New Roman"/>
                <w:b w:val="0"/>
                <w:bCs w:val="0"/>
                <w:sz w:val="24"/>
                <w:szCs w:val="24"/>
              </w:rPr>
              <w:t>点声源几何发散衰减公式：</w:t>
            </w:r>
            <w:r>
              <w:rPr>
                <w:rFonts w:ascii="Times New Roman" w:hAnsi="Times New Roman"/>
                <w:b w:val="0"/>
                <w:bCs w:val="0"/>
                <w:sz w:val="21"/>
                <w:szCs w:val="21"/>
              </w:rPr>
              <w:t></w:t>
            </w:r>
          </w:p>
          <w:p w14:paraId="0D96A11C">
            <w:pPr>
              <w:keepNext w:val="0"/>
              <w:keepLines w:val="0"/>
              <w:suppressLineNumbers w:val="0"/>
              <w:spacing w:before="0" w:beforeAutospacing="0" w:after="0" w:afterAutospacing="0"/>
              <w:ind w:left="0" w:right="0"/>
            </w:pPr>
            <w:r>
              <w:t xml:space="preserve">      </w:t>
            </w:r>
            <w:r>
              <w:drawing>
                <wp:inline distT="0" distB="0" distL="114300" distR="114300">
                  <wp:extent cx="1724025" cy="290195"/>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cstate="print"/>
                          <a:srcRect t="7677"/>
                          <a:stretch>
                            <a:fillRect/>
                          </a:stretch>
                        </pic:blipFill>
                        <pic:spPr>
                          <a:xfrm>
                            <a:off x="0" y="0"/>
                            <a:ext cx="1724025" cy="290195"/>
                          </a:xfrm>
                          <a:prstGeom prst="rect">
                            <a:avLst/>
                          </a:prstGeom>
                          <a:noFill/>
                          <a:ln>
                            <a:noFill/>
                          </a:ln>
                        </pic:spPr>
                      </pic:pic>
                    </a:graphicData>
                  </a:graphic>
                </wp:inline>
              </w:drawing>
            </w:r>
          </w:p>
          <w:p w14:paraId="7C65FF18">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式中：L</w:t>
            </w:r>
            <w:r>
              <w:rPr>
                <w:sz w:val="24"/>
                <w:vertAlign w:val="subscript"/>
              </w:rPr>
              <w:t>p</w:t>
            </w:r>
            <w:r>
              <w:rPr>
                <w:sz w:val="24"/>
              </w:rPr>
              <w:t>(r)—预测点处声压级，dB；</w:t>
            </w:r>
          </w:p>
          <w:p w14:paraId="222CF3BA">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L</w:t>
            </w:r>
            <w:r>
              <w:rPr>
                <w:sz w:val="24"/>
                <w:vertAlign w:val="subscript"/>
              </w:rPr>
              <w:t>p</w:t>
            </w:r>
            <w:r>
              <w:rPr>
                <w:sz w:val="24"/>
              </w:rPr>
              <w:t>(r0)—参考位</w:t>
            </w:r>
            <w:r>
              <w:rPr>
                <w:position w:val="-10"/>
                <w:sz w:val="24"/>
              </w:rPr>
              <w:object>
                <v:shape id="_x0000_i1025" o:spt="75" type="#_x0000_t75" style="height:17.25pt;width:3pt;" o:ole="t" filled="f" o:preferrelative="t" stroked="f" coordsize="21600,21600">
                  <v:path/>
                  <v:fill on="f" focussize="0,0"/>
                  <v:stroke on="f" joinstyle="miter"/>
                  <v:imagedata r:id="rId20" o:title=""/>
                  <o:lock v:ext="edit" aspectratio="t"/>
                  <w10:wrap type="none"/>
                  <w10:anchorlock/>
                </v:shape>
                <o:OLEObject Type="Embed" ProgID="Equations" ShapeID="_x0000_i1025" DrawAspect="Content" ObjectID="_1468075725" r:id="rId19">
                  <o:LockedField>false</o:LockedField>
                </o:OLEObject>
              </w:object>
            </w:r>
            <w:r>
              <w:rPr>
                <w:position w:val="-10"/>
                <w:sz w:val="24"/>
              </w:rPr>
              <w:object>
                <v:shape id="_x0000_i1026" o:spt="75" type="#_x0000_t75" style="height:17.25pt;width:9pt;" o:ole="t" filled="f" o:preferrelative="t" stroked="f" coordsize="21600,21600">
                  <v:path/>
                  <v:fill on="f" focussize="0,0"/>
                  <v:stroke on="f" joinstyle="miter"/>
                  <v:imagedata r:id="rId22" o:title=""/>
                  <o:lock v:ext="edit" aspectratio="t"/>
                  <w10:wrap type="none"/>
                  <w10:anchorlock/>
                </v:shape>
                <o:OLEObject Type="Embed" ProgID="Equations" ShapeID="_x0000_i1026" DrawAspect="Content" ObjectID="_1468075726" r:id="rId21">
                  <o:LockedField>false</o:LockedField>
                </o:OLEObject>
              </w:object>
            </w:r>
            <w:r>
              <w:rPr>
                <w:sz w:val="24"/>
              </w:rPr>
              <w:t>置r0处的声压级，dB；</w:t>
            </w:r>
          </w:p>
          <w:p w14:paraId="710F7533">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r—预测点距声源的距离；</w:t>
            </w:r>
          </w:p>
          <w:p w14:paraId="2C023A01">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r0—参考位置距声源的距离。</w:t>
            </w:r>
          </w:p>
          <w:p w14:paraId="1EC7C841">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w:t>
            </w:r>
            <w:r>
              <w:rPr>
                <w:sz w:val="24"/>
              </w:rPr>
              <w:t>3</w:t>
            </w:r>
            <w:r>
              <w:rPr>
                <w:sz w:val="24"/>
                <w:lang w:val="zh-CN"/>
              </w:rPr>
              <w:t xml:space="preserve">）噪声影响预测结果与评价 </w:t>
            </w:r>
          </w:p>
          <w:p w14:paraId="2062CB95">
            <w:pPr>
              <w:keepNext w:val="0"/>
              <w:keepLines w:val="0"/>
              <w:suppressLineNumbers w:val="0"/>
              <w:adjustRightInd w:val="0"/>
              <w:snapToGrid w:val="0"/>
              <w:spacing w:before="0" w:beforeAutospacing="0" w:after="0" w:afterAutospacing="0" w:line="360" w:lineRule="auto"/>
              <w:ind w:left="0" w:right="0" w:firstLine="480" w:firstLineChars="200"/>
            </w:pPr>
            <w:r>
              <w:rPr>
                <w:sz w:val="24"/>
                <w:lang w:val="zh-CN"/>
              </w:rPr>
              <w:t>本项目运行后噪声预测结果，见表</w:t>
            </w:r>
            <w:r>
              <w:rPr>
                <w:sz w:val="24"/>
              </w:rPr>
              <w:t>4-</w:t>
            </w:r>
            <w:r>
              <w:rPr>
                <w:rFonts w:hint="eastAsia"/>
                <w:sz w:val="24"/>
              </w:rPr>
              <w:t>5</w:t>
            </w:r>
            <w:r>
              <w:rPr>
                <w:sz w:val="24"/>
                <w:lang w:val="zh-CN"/>
              </w:rPr>
              <w:t>。</w:t>
            </w:r>
          </w:p>
          <w:p w14:paraId="08F625B1">
            <w:pPr>
              <w:keepNext w:val="0"/>
              <w:keepLines w:val="0"/>
              <w:suppressLineNumbers w:val="0"/>
              <w:adjustRightInd w:val="0"/>
              <w:snapToGrid w:val="0"/>
              <w:spacing w:before="0" w:beforeAutospacing="0" w:after="0" w:afterAutospacing="0" w:line="240" w:lineRule="auto"/>
              <w:ind w:left="0" w:right="0" w:firstLine="422" w:firstLineChars="200"/>
              <w:jc w:val="center"/>
              <w:rPr>
                <w:b/>
                <w:sz w:val="21"/>
                <w:szCs w:val="21"/>
                <w:lang w:val="zh-CN"/>
              </w:rPr>
            </w:pPr>
            <w:r>
              <w:rPr>
                <w:b/>
                <w:sz w:val="21"/>
                <w:szCs w:val="21"/>
                <w:lang w:val="zh-CN"/>
              </w:rPr>
              <w:t>表</w:t>
            </w:r>
            <w:r>
              <w:rPr>
                <w:b/>
                <w:sz w:val="21"/>
                <w:szCs w:val="21"/>
              </w:rPr>
              <w:t>4-</w:t>
            </w:r>
            <w:r>
              <w:rPr>
                <w:rFonts w:hint="eastAsia"/>
                <w:b/>
                <w:sz w:val="21"/>
                <w:szCs w:val="21"/>
              </w:rPr>
              <w:t>5</w:t>
            </w:r>
            <w:r>
              <w:rPr>
                <w:rFonts w:hint="eastAsia"/>
                <w:b/>
                <w:sz w:val="21"/>
                <w:szCs w:val="21"/>
                <w:lang w:val="en-US" w:eastAsia="zh-CN"/>
              </w:rPr>
              <w:t xml:space="preserve">  </w:t>
            </w:r>
            <w:r>
              <w:rPr>
                <w:b/>
                <w:sz w:val="21"/>
                <w:szCs w:val="21"/>
                <w:lang w:val="zh-CN"/>
              </w:rPr>
              <w:t xml:space="preserve"> 本项目汇集站噪声预测结果 单位： 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2930"/>
              <w:gridCol w:w="1641"/>
              <w:gridCol w:w="1437"/>
              <w:gridCol w:w="1437"/>
            </w:tblGrid>
            <w:tr w14:paraId="158A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3E60D3C2">
                  <w:pPr>
                    <w:keepNext w:val="0"/>
                    <w:keepLines w:val="0"/>
                    <w:suppressLineNumbers w:val="0"/>
                    <w:spacing w:before="0" w:beforeAutospacing="0" w:after="0" w:afterAutospacing="0" w:line="240" w:lineRule="exact"/>
                    <w:ind w:left="0" w:right="0"/>
                    <w:jc w:val="center"/>
                    <w:rPr>
                      <w:szCs w:val="21"/>
                    </w:rPr>
                  </w:pPr>
                  <w:r>
                    <w:rPr>
                      <w:szCs w:val="21"/>
                    </w:rPr>
                    <w:t>序号</w:t>
                  </w:r>
                </w:p>
              </w:tc>
              <w:tc>
                <w:tcPr>
                  <w:tcW w:w="2930" w:type="dxa"/>
                  <w:vAlign w:val="center"/>
                </w:tcPr>
                <w:p w14:paraId="4434819D">
                  <w:pPr>
                    <w:keepNext w:val="0"/>
                    <w:keepLines w:val="0"/>
                    <w:suppressLineNumbers w:val="0"/>
                    <w:spacing w:before="0" w:beforeAutospacing="0" w:after="0" w:afterAutospacing="0" w:line="240" w:lineRule="exact"/>
                    <w:ind w:left="0" w:right="0"/>
                    <w:jc w:val="center"/>
                    <w:rPr>
                      <w:szCs w:val="21"/>
                    </w:rPr>
                  </w:pPr>
                  <w:r>
                    <w:rPr>
                      <w:szCs w:val="21"/>
                    </w:rPr>
                    <w:t>预测点</w:t>
                  </w:r>
                </w:p>
              </w:tc>
              <w:tc>
                <w:tcPr>
                  <w:tcW w:w="1641" w:type="dxa"/>
                  <w:vAlign w:val="center"/>
                </w:tcPr>
                <w:p w14:paraId="118ABA49">
                  <w:pPr>
                    <w:keepNext w:val="0"/>
                    <w:keepLines w:val="0"/>
                    <w:suppressLineNumbers w:val="0"/>
                    <w:spacing w:before="0" w:beforeAutospacing="0" w:after="0" w:afterAutospacing="0" w:line="240" w:lineRule="exact"/>
                    <w:ind w:left="0" w:right="0"/>
                    <w:jc w:val="center"/>
                    <w:rPr>
                      <w:szCs w:val="21"/>
                    </w:rPr>
                  </w:pPr>
                  <w:r>
                    <w:rPr>
                      <w:szCs w:val="21"/>
                    </w:rPr>
                    <w:t>预测值</w:t>
                  </w:r>
                </w:p>
              </w:tc>
              <w:tc>
                <w:tcPr>
                  <w:tcW w:w="1437" w:type="dxa"/>
                  <w:vAlign w:val="center"/>
                </w:tcPr>
                <w:p w14:paraId="41FB5954">
                  <w:pPr>
                    <w:keepNext w:val="0"/>
                    <w:keepLines w:val="0"/>
                    <w:suppressLineNumbers w:val="0"/>
                    <w:spacing w:before="0" w:beforeAutospacing="0" w:after="0" w:afterAutospacing="0" w:line="240" w:lineRule="exact"/>
                    <w:ind w:left="0" w:right="0"/>
                    <w:jc w:val="center"/>
                    <w:rPr>
                      <w:szCs w:val="21"/>
                    </w:rPr>
                  </w:pPr>
                  <w:r>
                    <w:rPr>
                      <w:szCs w:val="21"/>
                    </w:rPr>
                    <w:t>标准值（昼间）</w:t>
                  </w:r>
                </w:p>
              </w:tc>
              <w:tc>
                <w:tcPr>
                  <w:tcW w:w="1437" w:type="dxa"/>
                  <w:vAlign w:val="center"/>
                </w:tcPr>
                <w:p w14:paraId="3B3B9153">
                  <w:pPr>
                    <w:keepNext w:val="0"/>
                    <w:keepLines w:val="0"/>
                    <w:suppressLineNumbers w:val="0"/>
                    <w:spacing w:before="0" w:beforeAutospacing="0" w:after="0" w:afterAutospacing="0" w:line="240" w:lineRule="exact"/>
                    <w:ind w:left="0" w:right="0"/>
                    <w:jc w:val="center"/>
                    <w:rPr>
                      <w:szCs w:val="21"/>
                    </w:rPr>
                  </w:pPr>
                  <w:r>
                    <w:rPr>
                      <w:szCs w:val="21"/>
                    </w:rPr>
                    <w:t>标准值（夜间）</w:t>
                  </w:r>
                </w:p>
              </w:tc>
            </w:tr>
            <w:tr w14:paraId="7844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18EAAB45">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1</w:t>
                  </w:r>
                </w:p>
              </w:tc>
              <w:tc>
                <w:tcPr>
                  <w:tcW w:w="2930" w:type="dxa"/>
                  <w:vAlign w:val="center"/>
                </w:tcPr>
                <w:p w14:paraId="77C9A62D">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拟建220千伏升压站北侧站界</w:t>
                  </w:r>
                </w:p>
              </w:tc>
              <w:tc>
                <w:tcPr>
                  <w:tcW w:w="1641" w:type="dxa"/>
                  <w:vAlign w:val="center"/>
                </w:tcPr>
                <w:p w14:paraId="0E843CA1">
                  <w:pPr>
                    <w:keepNext w:val="0"/>
                    <w:keepLines w:val="0"/>
                    <w:suppressLineNumbers w:val="0"/>
                    <w:spacing w:before="0" w:beforeAutospacing="0" w:after="0" w:afterAutospacing="0"/>
                    <w:ind w:left="0" w:right="0"/>
                    <w:jc w:val="center"/>
                    <w:rPr>
                      <w:szCs w:val="21"/>
                    </w:rPr>
                  </w:pPr>
                  <w:r>
                    <w:rPr>
                      <w:szCs w:val="21"/>
                    </w:rPr>
                    <w:t>43.66</w:t>
                  </w:r>
                </w:p>
              </w:tc>
              <w:tc>
                <w:tcPr>
                  <w:tcW w:w="1437" w:type="dxa"/>
                  <w:vAlign w:val="center"/>
                </w:tcPr>
                <w:p w14:paraId="50281BE4">
                  <w:pPr>
                    <w:keepNext w:val="0"/>
                    <w:keepLines w:val="0"/>
                    <w:suppressLineNumbers w:val="0"/>
                    <w:spacing w:before="0" w:beforeAutospacing="0" w:after="0" w:afterAutospacing="0"/>
                    <w:ind w:left="0" w:right="0"/>
                    <w:jc w:val="center"/>
                    <w:rPr>
                      <w:szCs w:val="21"/>
                    </w:rPr>
                  </w:pPr>
                  <w:r>
                    <w:rPr>
                      <w:szCs w:val="21"/>
                    </w:rPr>
                    <w:t>60</w:t>
                  </w:r>
                </w:p>
              </w:tc>
              <w:tc>
                <w:tcPr>
                  <w:tcW w:w="1437" w:type="dxa"/>
                  <w:vAlign w:val="center"/>
                </w:tcPr>
                <w:p w14:paraId="11CF4808">
                  <w:pPr>
                    <w:keepNext w:val="0"/>
                    <w:keepLines w:val="0"/>
                    <w:suppressLineNumbers w:val="0"/>
                    <w:spacing w:before="0" w:beforeAutospacing="0" w:after="0" w:afterAutospacing="0"/>
                    <w:ind w:left="0" w:right="0"/>
                    <w:jc w:val="center"/>
                    <w:rPr>
                      <w:szCs w:val="21"/>
                    </w:rPr>
                  </w:pPr>
                  <w:r>
                    <w:rPr>
                      <w:szCs w:val="21"/>
                    </w:rPr>
                    <w:t>50</w:t>
                  </w:r>
                </w:p>
              </w:tc>
            </w:tr>
            <w:tr w14:paraId="15F5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6CBD7232">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2</w:t>
                  </w:r>
                </w:p>
              </w:tc>
              <w:tc>
                <w:tcPr>
                  <w:tcW w:w="2930" w:type="dxa"/>
                  <w:vAlign w:val="center"/>
                </w:tcPr>
                <w:p w14:paraId="40EE226E">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拟建220千伏升压站南侧站界</w:t>
                  </w:r>
                </w:p>
              </w:tc>
              <w:tc>
                <w:tcPr>
                  <w:tcW w:w="1641" w:type="dxa"/>
                  <w:vAlign w:val="center"/>
                </w:tcPr>
                <w:p w14:paraId="0BF0D4C3">
                  <w:pPr>
                    <w:keepNext w:val="0"/>
                    <w:keepLines w:val="0"/>
                    <w:suppressLineNumbers w:val="0"/>
                    <w:spacing w:before="0" w:beforeAutospacing="0" w:after="0" w:afterAutospacing="0"/>
                    <w:ind w:left="0" w:right="0"/>
                    <w:jc w:val="center"/>
                    <w:rPr>
                      <w:szCs w:val="21"/>
                    </w:rPr>
                  </w:pPr>
                  <w:r>
                    <w:rPr>
                      <w:szCs w:val="21"/>
                    </w:rPr>
                    <w:t>41.15</w:t>
                  </w:r>
                </w:p>
              </w:tc>
              <w:tc>
                <w:tcPr>
                  <w:tcW w:w="1437" w:type="dxa"/>
                  <w:vAlign w:val="center"/>
                </w:tcPr>
                <w:p w14:paraId="45DF7929">
                  <w:pPr>
                    <w:keepNext w:val="0"/>
                    <w:keepLines w:val="0"/>
                    <w:suppressLineNumbers w:val="0"/>
                    <w:spacing w:before="0" w:beforeAutospacing="0" w:after="0" w:afterAutospacing="0"/>
                    <w:ind w:left="0" w:right="0"/>
                    <w:jc w:val="center"/>
                    <w:rPr>
                      <w:szCs w:val="21"/>
                    </w:rPr>
                  </w:pPr>
                  <w:r>
                    <w:rPr>
                      <w:szCs w:val="21"/>
                    </w:rPr>
                    <w:t>60</w:t>
                  </w:r>
                </w:p>
              </w:tc>
              <w:tc>
                <w:tcPr>
                  <w:tcW w:w="1437" w:type="dxa"/>
                  <w:vAlign w:val="center"/>
                </w:tcPr>
                <w:p w14:paraId="2319EA02">
                  <w:pPr>
                    <w:keepNext w:val="0"/>
                    <w:keepLines w:val="0"/>
                    <w:suppressLineNumbers w:val="0"/>
                    <w:spacing w:before="0" w:beforeAutospacing="0" w:after="0" w:afterAutospacing="0"/>
                    <w:ind w:left="0" w:right="0"/>
                    <w:jc w:val="center"/>
                    <w:rPr>
                      <w:szCs w:val="21"/>
                    </w:rPr>
                  </w:pPr>
                  <w:r>
                    <w:rPr>
                      <w:szCs w:val="21"/>
                    </w:rPr>
                    <w:t>50</w:t>
                  </w:r>
                </w:p>
              </w:tc>
            </w:tr>
            <w:tr w14:paraId="35FB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0287F64B">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3</w:t>
                  </w:r>
                </w:p>
              </w:tc>
              <w:tc>
                <w:tcPr>
                  <w:tcW w:w="2930" w:type="dxa"/>
                  <w:vAlign w:val="center"/>
                </w:tcPr>
                <w:p w14:paraId="40E860BA">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拟建220千伏升压站西侧站界</w:t>
                  </w:r>
                </w:p>
              </w:tc>
              <w:tc>
                <w:tcPr>
                  <w:tcW w:w="1641" w:type="dxa"/>
                  <w:vAlign w:val="center"/>
                </w:tcPr>
                <w:p w14:paraId="4D37AD60">
                  <w:pPr>
                    <w:keepNext w:val="0"/>
                    <w:keepLines w:val="0"/>
                    <w:suppressLineNumbers w:val="0"/>
                    <w:spacing w:before="0" w:beforeAutospacing="0" w:after="0" w:afterAutospacing="0"/>
                    <w:ind w:left="0" w:right="0"/>
                    <w:jc w:val="center"/>
                    <w:rPr>
                      <w:szCs w:val="21"/>
                    </w:rPr>
                  </w:pPr>
                  <w:r>
                    <w:rPr>
                      <w:szCs w:val="21"/>
                    </w:rPr>
                    <w:t>37.37</w:t>
                  </w:r>
                </w:p>
              </w:tc>
              <w:tc>
                <w:tcPr>
                  <w:tcW w:w="1437" w:type="dxa"/>
                  <w:vAlign w:val="center"/>
                </w:tcPr>
                <w:p w14:paraId="03241E72">
                  <w:pPr>
                    <w:keepNext w:val="0"/>
                    <w:keepLines w:val="0"/>
                    <w:suppressLineNumbers w:val="0"/>
                    <w:spacing w:before="0" w:beforeAutospacing="0" w:after="0" w:afterAutospacing="0"/>
                    <w:ind w:left="0" w:right="0"/>
                    <w:jc w:val="center"/>
                    <w:rPr>
                      <w:szCs w:val="21"/>
                    </w:rPr>
                  </w:pPr>
                  <w:r>
                    <w:rPr>
                      <w:szCs w:val="21"/>
                    </w:rPr>
                    <w:t>60</w:t>
                  </w:r>
                </w:p>
              </w:tc>
              <w:tc>
                <w:tcPr>
                  <w:tcW w:w="1437" w:type="dxa"/>
                  <w:vAlign w:val="center"/>
                </w:tcPr>
                <w:p w14:paraId="51D6C367">
                  <w:pPr>
                    <w:keepNext w:val="0"/>
                    <w:keepLines w:val="0"/>
                    <w:suppressLineNumbers w:val="0"/>
                    <w:spacing w:before="0" w:beforeAutospacing="0" w:after="0" w:afterAutospacing="0"/>
                    <w:ind w:left="0" w:right="0"/>
                    <w:jc w:val="center"/>
                    <w:rPr>
                      <w:szCs w:val="21"/>
                    </w:rPr>
                  </w:pPr>
                  <w:r>
                    <w:rPr>
                      <w:szCs w:val="21"/>
                    </w:rPr>
                    <w:t>50</w:t>
                  </w:r>
                </w:p>
              </w:tc>
            </w:tr>
            <w:tr w14:paraId="5717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59EE6CDD">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4</w:t>
                  </w:r>
                </w:p>
              </w:tc>
              <w:tc>
                <w:tcPr>
                  <w:tcW w:w="2930" w:type="dxa"/>
                  <w:vAlign w:val="center"/>
                </w:tcPr>
                <w:p w14:paraId="50CF4EB6">
                  <w:pPr>
                    <w:keepNext w:val="0"/>
                    <w:keepLines w:val="0"/>
                    <w:suppressLineNumbers w:val="0"/>
                    <w:adjustRightInd w:val="0"/>
                    <w:snapToGrid w:val="0"/>
                    <w:spacing w:before="0" w:beforeAutospacing="0" w:after="0" w:afterAutospacing="0" w:line="240" w:lineRule="exact"/>
                    <w:ind w:left="0" w:right="0"/>
                    <w:jc w:val="center"/>
                    <w:rPr>
                      <w:szCs w:val="21"/>
                      <w:lang w:val="zh-CN"/>
                    </w:rPr>
                  </w:pPr>
                  <w:r>
                    <w:rPr>
                      <w:szCs w:val="21"/>
                      <w:lang w:val="zh-CN"/>
                    </w:rPr>
                    <w:t>拟建220千伏升压站东侧站界</w:t>
                  </w:r>
                </w:p>
              </w:tc>
              <w:tc>
                <w:tcPr>
                  <w:tcW w:w="1641" w:type="dxa"/>
                  <w:vAlign w:val="center"/>
                </w:tcPr>
                <w:p w14:paraId="2AF1CD8F">
                  <w:pPr>
                    <w:keepNext w:val="0"/>
                    <w:keepLines w:val="0"/>
                    <w:suppressLineNumbers w:val="0"/>
                    <w:spacing w:before="0" w:beforeAutospacing="0" w:after="0" w:afterAutospacing="0"/>
                    <w:ind w:left="0" w:right="0"/>
                    <w:jc w:val="center"/>
                    <w:rPr>
                      <w:szCs w:val="21"/>
                    </w:rPr>
                  </w:pPr>
                  <w:r>
                    <w:rPr>
                      <w:szCs w:val="21"/>
                    </w:rPr>
                    <w:t>38.08</w:t>
                  </w:r>
                </w:p>
              </w:tc>
              <w:tc>
                <w:tcPr>
                  <w:tcW w:w="1437" w:type="dxa"/>
                  <w:vAlign w:val="center"/>
                </w:tcPr>
                <w:p w14:paraId="4E257F34">
                  <w:pPr>
                    <w:keepNext w:val="0"/>
                    <w:keepLines w:val="0"/>
                    <w:suppressLineNumbers w:val="0"/>
                    <w:spacing w:before="0" w:beforeAutospacing="0" w:after="0" w:afterAutospacing="0"/>
                    <w:ind w:left="0" w:right="0"/>
                    <w:jc w:val="center"/>
                    <w:rPr>
                      <w:szCs w:val="21"/>
                    </w:rPr>
                  </w:pPr>
                  <w:r>
                    <w:rPr>
                      <w:szCs w:val="21"/>
                    </w:rPr>
                    <w:t>60</w:t>
                  </w:r>
                </w:p>
              </w:tc>
              <w:tc>
                <w:tcPr>
                  <w:tcW w:w="1437" w:type="dxa"/>
                  <w:vAlign w:val="center"/>
                </w:tcPr>
                <w:p w14:paraId="60574BF2">
                  <w:pPr>
                    <w:keepNext w:val="0"/>
                    <w:keepLines w:val="0"/>
                    <w:suppressLineNumbers w:val="0"/>
                    <w:spacing w:before="0" w:beforeAutospacing="0" w:after="0" w:afterAutospacing="0"/>
                    <w:ind w:left="0" w:right="0"/>
                    <w:jc w:val="center"/>
                    <w:rPr>
                      <w:szCs w:val="21"/>
                    </w:rPr>
                  </w:pPr>
                  <w:r>
                    <w:rPr>
                      <w:szCs w:val="21"/>
                    </w:rPr>
                    <w:t>50</w:t>
                  </w:r>
                </w:p>
              </w:tc>
            </w:tr>
          </w:tbl>
          <w:p w14:paraId="4229FD1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sz w:val="24"/>
                <w:lang w:val="zh-CN"/>
              </w:rPr>
            </w:pPr>
            <w:r>
              <w:rPr>
                <w:sz w:val="24"/>
                <w:lang w:val="zh-CN"/>
              </w:rPr>
              <w:t>根据预测结果可知，升压站正常运行状态下，升压站围墙外的站界预测值在</w:t>
            </w:r>
            <w:r>
              <w:rPr>
                <w:sz w:val="24"/>
              </w:rPr>
              <w:t>37.37d</w:t>
            </w:r>
            <w:r>
              <w:rPr>
                <w:sz w:val="24"/>
                <w:lang w:val="zh-CN"/>
              </w:rPr>
              <w:t>B(A)</w:t>
            </w:r>
            <w:r>
              <w:rPr>
                <w:rFonts w:hint="eastAsia"/>
                <w:sz w:val="24"/>
                <w:lang w:val="zh-CN"/>
              </w:rPr>
              <w:t>~</w:t>
            </w:r>
            <w:r>
              <w:rPr>
                <w:sz w:val="24"/>
              </w:rPr>
              <w:t>43.66</w:t>
            </w:r>
            <w:r>
              <w:rPr>
                <w:sz w:val="24"/>
                <w:lang w:val="zh-CN"/>
              </w:rPr>
              <w:t>dB(A)，噪声水平较低，满足《工业企业厂界环境噪声排放标准》(GB12348-2008)</w:t>
            </w:r>
            <w:r>
              <w:rPr>
                <w:sz w:val="24"/>
              </w:rPr>
              <w:t>2</w:t>
            </w:r>
            <w:r>
              <w:rPr>
                <w:sz w:val="24"/>
                <w:lang w:val="zh-CN"/>
              </w:rPr>
              <w:t>类标准：昼间噪声限值</w:t>
            </w:r>
            <w:r>
              <w:rPr>
                <w:sz w:val="24"/>
              </w:rPr>
              <w:t>60</w:t>
            </w:r>
            <w:r>
              <w:rPr>
                <w:sz w:val="24"/>
                <w:lang w:val="zh-CN"/>
              </w:rPr>
              <w:t>dB(A)，夜间噪声限值</w:t>
            </w:r>
            <w:r>
              <w:rPr>
                <w:sz w:val="24"/>
              </w:rPr>
              <w:t>50</w:t>
            </w:r>
            <w:r>
              <w:rPr>
                <w:sz w:val="24"/>
                <w:lang w:val="zh-CN"/>
              </w:rPr>
              <w:t>dB(A)的要求。</w:t>
            </w:r>
          </w:p>
          <w:p w14:paraId="10C3C0FD">
            <w:pPr>
              <w:pStyle w:val="27"/>
              <w:keepNext w:val="0"/>
              <w:keepLines w:val="0"/>
              <w:suppressLineNumbers w:val="0"/>
              <w:spacing w:before="0" w:beforeAutospacing="0" w:after="0" w:afterAutospacing="0"/>
              <w:ind w:left="0" w:right="0"/>
              <w:rPr>
                <w:rFonts w:ascii="Times New Roman" w:hAnsi="Times New Roman"/>
                <w:lang w:val="zh-CN"/>
              </w:rPr>
            </w:pPr>
            <w:r>
              <w:rPr>
                <w:rFonts w:ascii="Times New Roman" w:hAnsi="Times New Roman"/>
              </w:rPr>
              <w:drawing>
                <wp:inline distT="0" distB="0" distL="114300" distR="114300">
                  <wp:extent cx="5146675" cy="2921000"/>
                  <wp:effectExtent l="0" t="0" r="15875" b="12700"/>
                  <wp:docPr id="7" name="图片 7" descr="3dcc19078450da5cde304975b2fc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cc19078450da5cde304975b2fc48a"/>
                          <pic:cNvPicPr>
                            <a:picLocks noChangeAspect="1"/>
                          </pic:cNvPicPr>
                        </pic:nvPicPr>
                        <pic:blipFill>
                          <a:blip r:embed="rId23" cstate="print"/>
                          <a:stretch>
                            <a:fillRect/>
                          </a:stretch>
                        </pic:blipFill>
                        <pic:spPr>
                          <a:xfrm>
                            <a:off x="0" y="0"/>
                            <a:ext cx="5146675" cy="2921000"/>
                          </a:xfrm>
                          <a:prstGeom prst="rect">
                            <a:avLst/>
                          </a:prstGeom>
                        </pic:spPr>
                      </pic:pic>
                    </a:graphicData>
                  </a:graphic>
                </wp:inline>
              </w:drawing>
            </w:r>
          </w:p>
          <w:p w14:paraId="6CC90072">
            <w:pPr>
              <w:pStyle w:val="29"/>
              <w:keepNext w:val="0"/>
              <w:keepLines w:val="0"/>
              <w:suppressLineNumbers w:val="0"/>
              <w:spacing w:before="0" w:beforeAutospacing="0" w:after="0" w:afterAutospacing="0"/>
              <w:ind w:left="105" w:right="105" w:firstLine="482"/>
              <w:jc w:val="center"/>
              <w:rPr>
                <w:rFonts w:ascii="Times New Roman" w:hAnsi="Times New Roman"/>
                <w:sz w:val="21"/>
                <w:szCs w:val="21"/>
              </w:rPr>
            </w:pPr>
            <w:r>
              <w:rPr>
                <w:rFonts w:ascii="Times New Roman" w:hAnsi="Times New Roman"/>
                <w:sz w:val="21"/>
                <w:szCs w:val="21"/>
                <w:lang w:val="zh-CN"/>
              </w:rPr>
              <w:t>图</w:t>
            </w:r>
            <w:r>
              <w:rPr>
                <w:rFonts w:ascii="Times New Roman" w:hAnsi="Times New Roman"/>
                <w:sz w:val="21"/>
                <w:szCs w:val="21"/>
              </w:rPr>
              <w:t>4-1 升压站噪声预测等值线图</w:t>
            </w:r>
          </w:p>
          <w:p w14:paraId="40EDCCBE">
            <w:pPr>
              <w:pStyle w:val="27"/>
              <w:keepNext w:val="0"/>
              <w:keepLines w:val="0"/>
              <w:suppressLineNumbers w:val="0"/>
              <w:spacing w:before="0" w:beforeAutospacing="0" w:after="0" w:afterAutospacing="0"/>
              <w:ind w:left="0" w:right="0"/>
              <w:rPr>
                <w:rFonts w:ascii="Times New Roman" w:hAnsi="Times New Roman"/>
                <w:b/>
                <w:bCs/>
                <w:color w:val="auto"/>
              </w:rPr>
            </w:pPr>
            <w:r>
              <w:rPr>
                <w:rFonts w:ascii="Times New Roman" w:hAnsi="Times New Roman"/>
                <w:b/>
                <w:bCs/>
                <w:color w:val="auto"/>
              </w:rPr>
              <w:t>3.2、220kV输电线路运营期声环境影响分析</w:t>
            </w:r>
          </w:p>
          <w:p w14:paraId="254B2237">
            <w:pPr>
              <w:keepNext w:val="0"/>
              <w:keepLines w:val="0"/>
              <w:widowControl/>
              <w:suppressLineNumbers w:val="0"/>
              <w:spacing w:before="0" w:beforeAutospacing="0" w:after="0" w:afterAutospacing="0" w:line="360" w:lineRule="auto"/>
              <w:ind w:left="0" w:right="0" w:firstLine="480" w:firstLineChars="200"/>
              <w:jc w:val="left"/>
            </w:pPr>
            <w:r>
              <w:rPr>
                <w:sz w:val="24"/>
              </w:rPr>
              <w:t>220kV输电线路噪声主要是由导线、金具及绝缘子的电晕放电产生。本工程输电线路总</w:t>
            </w:r>
            <w:r>
              <w:rPr>
                <w:color w:val="000000" w:themeColor="text1"/>
                <w:sz w:val="24"/>
              </w:rPr>
              <w:t>长7.</w:t>
            </w:r>
            <w:r>
              <w:rPr>
                <w:rFonts w:hint="eastAsia"/>
                <w:color w:val="000000" w:themeColor="text1"/>
                <w:sz w:val="24"/>
              </w:rPr>
              <w:t>84</w:t>
            </w:r>
            <w:r>
              <w:rPr>
                <w:color w:val="000000" w:themeColor="text1"/>
                <w:sz w:val="24"/>
              </w:rPr>
              <w:t>km，</w:t>
            </w:r>
            <w:r>
              <w:rPr>
                <w:sz w:val="24"/>
              </w:rPr>
              <w:t>为单回路架设，不涉及声环境敏感目标</w:t>
            </w:r>
            <w:r>
              <w:rPr>
                <w:rFonts w:eastAsia="仿宋_GB2312"/>
                <w:color w:val="000000"/>
                <w:kern w:val="0"/>
                <w:sz w:val="24"/>
              </w:rPr>
              <w:t>。</w:t>
            </w:r>
          </w:p>
          <w:p w14:paraId="63B500F0">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 xml:space="preserve">（1）类比对象 </w:t>
            </w:r>
          </w:p>
          <w:p w14:paraId="14D9DF46">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本次评价选取已运行的</w:t>
            </w:r>
            <w:r>
              <w:rPr>
                <w:rFonts w:hint="eastAsia"/>
                <w:sz w:val="24"/>
              </w:rPr>
              <w:t>哈密湘晟钛业220kV银钛Ⅰ线(单回路)，线</w:t>
            </w:r>
            <w:r>
              <w:rPr>
                <w:sz w:val="24"/>
              </w:rPr>
              <w:t>路</w:t>
            </w:r>
            <w:r>
              <w:rPr>
                <w:rFonts w:hint="eastAsia"/>
                <w:sz w:val="24"/>
              </w:rPr>
              <w:t>噪声监测结果</w:t>
            </w:r>
            <w:r>
              <w:rPr>
                <w:sz w:val="24"/>
              </w:rPr>
              <w:t>对本工程线路噪声进行预测。类比线路与本期工程线路概况见表4-</w:t>
            </w:r>
            <w:r>
              <w:rPr>
                <w:rFonts w:hint="eastAsia"/>
                <w:sz w:val="24"/>
              </w:rPr>
              <w:t>6</w:t>
            </w:r>
            <w:r>
              <w:rPr>
                <w:sz w:val="24"/>
              </w:rPr>
              <w:t>。</w:t>
            </w:r>
          </w:p>
          <w:p w14:paraId="380418F2">
            <w:pPr>
              <w:keepNext w:val="0"/>
              <w:keepLines w:val="0"/>
              <w:suppressLineNumbers w:val="0"/>
              <w:adjustRightInd w:val="0"/>
              <w:snapToGrid w:val="0"/>
              <w:spacing w:before="0" w:beforeAutospacing="0" w:after="0" w:afterAutospacing="0" w:line="360" w:lineRule="auto"/>
              <w:ind w:left="0" w:right="0" w:firstLine="480" w:firstLineChars="200"/>
              <w:rPr>
                <w:sz w:val="24"/>
              </w:rPr>
            </w:pPr>
          </w:p>
          <w:p w14:paraId="5B7BD6B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firstLine="422" w:firstLineChars="200"/>
              <w:jc w:val="center"/>
              <w:textAlignment w:val="auto"/>
              <w:rPr>
                <w:b/>
                <w:sz w:val="21"/>
                <w:szCs w:val="21"/>
                <w:lang w:val="zh-CN"/>
              </w:rPr>
            </w:pPr>
            <w:r>
              <w:rPr>
                <w:b/>
                <w:sz w:val="21"/>
                <w:szCs w:val="21"/>
              </w:rPr>
              <w:t>表 4-</w:t>
            </w:r>
            <w:r>
              <w:rPr>
                <w:rFonts w:hint="eastAsia"/>
                <w:b/>
                <w:sz w:val="21"/>
                <w:szCs w:val="21"/>
              </w:rPr>
              <w:t xml:space="preserve">6 </w:t>
            </w:r>
            <w:r>
              <w:rPr>
                <w:rFonts w:hint="eastAsia"/>
                <w:b/>
                <w:sz w:val="21"/>
                <w:szCs w:val="21"/>
                <w:lang w:val="en-US" w:eastAsia="zh-CN"/>
              </w:rPr>
              <w:t xml:space="preserve">   </w:t>
            </w:r>
            <w:r>
              <w:rPr>
                <w:b/>
                <w:sz w:val="21"/>
                <w:szCs w:val="21"/>
              </w:rPr>
              <w:t>类比线路与本工程线路概况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985"/>
              <w:gridCol w:w="2678"/>
            </w:tblGrid>
            <w:tr w14:paraId="7B42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47" w:type="dxa"/>
                  <w:vAlign w:val="center"/>
                </w:tcPr>
                <w:p w14:paraId="43F301E2">
                  <w:pPr>
                    <w:keepNext w:val="0"/>
                    <w:keepLines w:val="0"/>
                    <w:widowControl/>
                    <w:suppressLineNumbers w:val="0"/>
                    <w:spacing w:before="0" w:beforeAutospacing="0" w:after="0" w:afterAutospacing="0"/>
                    <w:ind w:left="0" w:right="0"/>
                    <w:jc w:val="center"/>
                    <w:rPr>
                      <w:szCs w:val="21"/>
                      <w:lang w:val="zh-CN"/>
                    </w:rPr>
                  </w:pPr>
                  <w:r>
                    <w:rPr>
                      <w:b/>
                      <w:bCs/>
                      <w:color w:val="000000"/>
                      <w:kern w:val="0"/>
                      <w:szCs w:val="21"/>
                    </w:rPr>
                    <w:t>主要指标</w:t>
                  </w:r>
                </w:p>
              </w:tc>
              <w:tc>
                <w:tcPr>
                  <w:tcW w:w="2985" w:type="dxa"/>
                  <w:vAlign w:val="center"/>
                </w:tcPr>
                <w:p w14:paraId="1C93EB43">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b/>
                      <w:bCs/>
                      <w:kern w:val="0"/>
                      <w:sz w:val="21"/>
                      <w:szCs w:val="21"/>
                    </w:rPr>
                    <w:t>220kV银钛Ⅰ线</w:t>
                  </w:r>
                </w:p>
              </w:tc>
              <w:tc>
                <w:tcPr>
                  <w:tcW w:w="2678" w:type="dxa"/>
                  <w:vAlign w:val="center"/>
                </w:tcPr>
                <w:p w14:paraId="047C7602">
                  <w:pPr>
                    <w:keepNext w:val="0"/>
                    <w:keepLines w:val="0"/>
                    <w:widowControl/>
                    <w:suppressLineNumbers w:val="0"/>
                    <w:spacing w:before="0" w:beforeAutospacing="0" w:after="0" w:afterAutospacing="0"/>
                    <w:ind w:left="0" w:right="0"/>
                    <w:jc w:val="center"/>
                    <w:rPr>
                      <w:szCs w:val="21"/>
                      <w:lang w:val="zh-CN"/>
                    </w:rPr>
                  </w:pPr>
                  <w:r>
                    <w:rPr>
                      <w:b/>
                      <w:bCs/>
                      <w:color w:val="000000"/>
                      <w:kern w:val="0"/>
                      <w:szCs w:val="21"/>
                    </w:rPr>
                    <w:t>本项目新建220kV输电线路</w:t>
                  </w:r>
                </w:p>
              </w:tc>
            </w:tr>
            <w:tr w14:paraId="5D0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15CC7E5E">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电压等级</w:t>
                  </w:r>
                </w:p>
              </w:tc>
              <w:tc>
                <w:tcPr>
                  <w:tcW w:w="2985" w:type="dxa"/>
                  <w:vAlign w:val="center"/>
                </w:tcPr>
                <w:p w14:paraId="4A8D99F1">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220kV</w:t>
                  </w:r>
                </w:p>
              </w:tc>
              <w:tc>
                <w:tcPr>
                  <w:tcW w:w="2678" w:type="dxa"/>
                  <w:vAlign w:val="center"/>
                </w:tcPr>
                <w:p w14:paraId="3050D52A">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220kV</w:t>
                  </w:r>
                </w:p>
              </w:tc>
            </w:tr>
            <w:tr w14:paraId="4F05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56AFBE3D">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架设形式</w:t>
                  </w:r>
                </w:p>
              </w:tc>
              <w:tc>
                <w:tcPr>
                  <w:tcW w:w="2985" w:type="dxa"/>
                  <w:vAlign w:val="center"/>
                </w:tcPr>
                <w:p w14:paraId="0859A1E5">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架空</w:t>
                  </w:r>
                </w:p>
              </w:tc>
              <w:tc>
                <w:tcPr>
                  <w:tcW w:w="2678" w:type="dxa"/>
                  <w:vAlign w:val="center"/>
                </w:tcPr>
                <w:p w14:paraId="66B0B55D">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架空</w:t>
                  </w:r>
                </w:p>
              </w:tc>
            </w:tr>
            <w:tr w14:paraId="65C5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0C0AB686">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导线分裂方式</w:t>
                  </w:r>
                </w:p>
              </w:tc>
              <w:tc>
                <w:tcPr>
                  <w:tcW w:w="2985" w:type="dxa"/>
                  <w:vAlign w:val="center"/>
                </w:tcPr>
                <w:p w14:paraId="38C5E7E1">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双分裂</w:t>
                  </w:r>
                </w:p>
              </w:tc>
              <w:tc>
                <w:tcPr>
                  <w:tcW w:w="2678" w:type="dxa"/>
                  <w:vAlign w:val="center"/>
                </w:tcPr>
                <w:p w14:paraId="44B69611">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双分裂</w:t>
                  </w:r>
                </w:p>
              </w:tc>
            </w:tr>
            <w:tr w14:paraId="70DE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791BC513">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导线型号</w:t>
                  </w:r>
                </w:p>
              </w:tc>
              <w:tc>
                <w:tcPr>
                  <w:tcW w:w="2985" w:type="dxa"/>
                  <w:vAlign w:val="center"/>
                </w:tcPr>
                <w:p w14:paraId="2131BBFD">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钢芯铝绞线</w:t>
                  </w:r>
                </w:p>
              </w:tc>
              <w:tc>
                <w:tcPr>
                  <w:tcW w:w="2678" w:type="dxa"/>
                  <w:vAlign w:val="center"/>
                </w:tcPr>
                <w:p w14:paraId="3F84C5DD">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钢芯铝绞线</w:t>
                  </w:r>
                </w:p>
              </w:tc>
            </w:tr>
            <w:tr w14:paraId="08A0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69DEEECB">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导线直径</w:t>
                  </w:r>
                </w:p>
              </w:tc>
              <w:tc>
                <w:tcPr>
                  <w:tcW w:w="2985" w:type="dxa"/>
                  <w:vAlign w:val="center"/>
                </w:tcPr>
                <w:p w14:paraId="3F490D89">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26.8mm</w:t>
                  </w:r>
                </w:p>
              </w:tc>
              <w:tc>
                <w:tcPr>
                  <w:tcW w:w="2678" w:type="dxa"/>
                  <w:vAlign w:val="center"/>
                </w:tcPr>
                <w:p w14:paraId="3A69863D">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26.8mm</w:t>
                  </w:r>
                </w:p>
              </w:tc>
            </w:tr>
            <w:tr w14:paraId="6EEE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3E26C15B">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回路</w:t>
                  </w:r>
                </w:p>
              </w:tc>
              <w:tc>
                <w:tcPr>
                  <w:tcW w:w="2985" w:type="dxa"/>
                  <w:vAlign w:val="center"/>
                </w:tcPr>
                <w:p w14:paraId="75F7943D">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单回路架设</w:t>
                  </w:r>
                </w:p>
              </w:tc>
              <w:tc>
                <w:tcPr>
                  <w:tcW w:w="2678" w:type="dxa"/>
                  <w:vAlign w:val="center"/>
                </w:tcPr>
                <w:p w14:paraId="4D96E9BE">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单回路架设</w:t>
                  </w:r>
                </w:p>
              </w:tc>
            </w:tr>
            <w:tr w14:paraId="0F7A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0B842806">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杆塔类型</w:t>
                  </w:r>
                </w:p>
              </w:tc>
              <w:tc>
                <w:tcPr>
                  <w:tcW w:w="2985" w:type="dxa"/>
                  <w:vAlign w:val="center"/>
                </w:tcPr>
                <w:p w14:paraId="08E74708">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铁塔</w:t>
                  </w:r>
                </w:p>
              </w:tc>
              <w:tc>
                <w:tcPr>
                  <w:tcW w:w="2678" w:type="dxa"/>
                  <w:vAlign w:val="center"/>
                </w:tcPr>
                <w:p w14:paraId="195F827A">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铁塔</w:t>
                  </w:r>
                </w:p>
              </w:tc>
            </w:tr>
            <w:tr w14:paraId="5DB0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299994E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导线高度</w:t>
                  </w:r>
                </w:p>
              </w:tc>
              <w:tc>
                <w:tcPr>
                  <w:tcW w:w="2985" w:type="dxa"/>
                  <w:vAlign w:val="center"/>
                </w:tcPr>
                <w:p w14:paraId="6C5F5D0D">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17.5m</w:t>
                  </w:r>
                </w:p>
              </w:tc>
              <w:tc>
                <w:tcPr>
                  <w:tcW w:w="2678" w:type="dxa"/>
                  <w:vAlign w:val="center"/>
                </w:tcPr>
                <w:p w14:paraId="75D7F4F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18m</w:t>
                  </w:r>
                </w:p>
              </w:tc>
            </w:tr>
            <w:tr w14:paraId="10D8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14:paraId="7241CD73">
                  <w:pPr>
                    <w:pStyle w:val="27"/>
                    <w:keepNext w:val="0"/>
                    <w:keepLines w:val="0"/>
                    <w:suppressLineNumbers w:val="0"/>
                    <w:spacing w:before="0" w:beforeAutospacing="0" w:after="0" w:afterAutospacing="0"/>
                    <w:ind w:left="0" w:right="0"/>
                    <w:jc w:val="center"/>
                    <w:rPr>
                      <w:rFonts w:ascii="Times New Roman" w:hAnsi="Times New Roman"/>
                      <w:sz w:val="21"/>
                      <w:szCs w:val="21"/>
                      <w:lang w:val="zh-CN"/>
                    </w:rPr>
                  </w:pPr>
                  <w:r>
                    <w:rPr>
                      <w:rFonts w:ascii="Times New Roman" w:hAnsi="Times New Roman"/>
                      <w:sz w:val="21"/>
                      <w:szCs w:val="21"/>
                      <w:lang w:val="zh-CN"/>
                    </w:rPr>
                    <w:t>运行工况</w:t>
                  </w:r>
                </w:p>
              </w:tc>
              <w:tc>
                <w:tcPr>
                  <w:tcW w:w="2985" w:type="dxa"/>
                  <w:vAlign w:val="center"/>
                </w:tcPr>
                <w:p w14:paraId="233A01F4">
                  <w:pPr>
                    <w:keepNext w:val="0"/>
                    <w:keepLines w:val="0"/>
                    <w:widowControl/>
                    <w:suppressLineNumbers w:val="0"/>
                    <w:spacing w:before="0" w:beforeAutospacing="0" w:after="0" w:afterAutospacing="0"/>
                    <w:ind w:left="0" w:right="0"/>
                    <w:jc w:val="center"/>
                    <w:rPr>
                      <w:szCs w:val="21"/>
                      <w:lang w:val="zh-CN"/>
                    </w:rPr>
                  </w:pPr>
                  <w:r>
                    <w:rPr>
                      <w:color w:val="000000"/>
                      <w:kern w:val="0"/>
                      <w:szCs w:val="21"/>
                    </w:rPr>
                    <w:t>监测期间线路运行正常</w:t>
                  </w:r>
                </w:p>
              </w:tc>
              <w:tc>
                <w:tcPr>
                  <w:tcW w:w="2678" w:type="dxa"/>
                  <w:vAlign w:val="center"/>
                </w:tcPr>
                <w:p w14:paraId="19F1F48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w:t>
                  </w:r>
                </w:p>
              </w:tc>
            </w:tr>
          </w:tbl>
          <w:p w14:paraId="2FBD55D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sz w:val="24"/>
              </w:rPr>
            </w:pPr>
            <w:r>
              <w:rPr>
                <w:sz w:val="24"/>
              </w:rPr>
              <w:t>由上表对比分析，选取的类比线路电压等级、导线分裂方式、导线型号等与本项目线路基本一致。监测期间类比线路运行正常，故本次环评将220kV银钛Ⅰ线作为线路类比对象是可行的。</w:t>
            </w:r>
          </w:p>
          <w:p w14:paraId="04ABAAAF">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（2）类比监测 </w:t>
            </w:r>
          </w:p>
          <w:p w14:paraId="45B4210E">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①类比监测点 </w:t>
            </w:r>
          </w:p>
          <w:p w14:paraId="041DD24B">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以 220kV银钛Ⅰ线中相导线弧垂最低位置对地投影点为起点，沿垂直于线路方向测试。</w:t>
            </w:r>
          </w:p>
          <w:p w14:paraId="6F5B7E3A">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②监测内容 </w:t>
            </w:r>
          </w:p>
          <w:p w14:paraId="6D2305B1">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等效声级。 </w:t>
            </w:r>
          </w:p>
          <w:p w14:paraId="34553B4D">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③监测方法及监测频次 </w:t>
            </w:r>
          </w:p>
          <w:p w14:paraId="0B8B03AE">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按《声环境质量标准》（GB3096-2008）中的规定监测方法进行监测，昼间、夜间各监测一次，每个监测点位监测时间1min。 </w:t>
            </w:r>
          </w:p>
          <w:p w14:paraId="5B3B95FE">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④监测单位及测量仪器 </w:t>
            </w:r>
          </w:p>
          <w:p w14:paraId="6CF873D2">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监测单位：新疆鼎耀工程咨询有限公司</w:t>
            </w:r>
          </w:p>
          <w:p w14:paraId="76940B02">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监测仪器：声级计（AWA5688） </w:t>
            </w:r>
          </w:p>
          <w:p w14:paraId="1FE5F874">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⑤监测时间、监测环境 </w:t>
            </w:r>
          </w:p>
          <w:p w14:paraId="4AD27166">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测量时间：2019年7月5日</w:t>
            </w:r>
          </w:p>
          <w:p w14:paraId="4108CD4D">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监测条件：天气晴，温度 37</w:t>
            </w:r>
            <w:r>
              <w:rPr>
                <w:rFonts w:hint="eastAsia"/>
                <w:sz w:val="24"/>
              </w:rPr>
              <w:t>~</w:t>
            </w:r>
            <w:r>
              <w:rPr>
                <w:sz w:val="24"/>
              </w:rPr>
              <w:t>39℃，湿度10</w:t>
            </w:r>
            <w:r>
              <w:rPr>
                <w:rFonts w:hint="eastAsia"/>
                <w:sz w:val="24"/>
              </w:rPr>
              <w:t>~</w:t>
            </w:r>
            <w:r>
              <w:rPr>
                <w:sz w:val="24"/>
              </w:rPr>
              <w:t>16%，风速1.0m/s</w:t>
            </w:r>
            <w:r>
              <w:rPr>
                <w:rFonts w:hint="eastAsia"/>
                <w:sz w:val="24"/>
              </w:rPr>
              <w:t>~</w:t>
            </w:r>
            <w:r>
              <w:rPr>
                <w:sz w:val="24"/>
              </w:rPr>
              <w:t xml:space="preserve">2.2m/s。 </w:t>
            </w:r>
          </w:p>
          <w:p w14:paraId="260D2E87">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监测环境：类比线路监测点附近平坦开阔，无其他架空线、构架和高大植物，符合监测技术条件要求。 </w:t>
            </w:r>
          </w:p>
          <w:p w14:paraId="5AED85BB">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⑥监测结果 </w:t>
            </w:r>
          </w:p>
          <w:p w14:paraId="5F60E5F6">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类比输电线路中心下方距离地面1.2m高处噪声类比监测结果见表4-</w:t>
            </w:r>
            <w:r>
              <w:rPr>
                <w:rFonts w:hint="eastAsia"/>
                <w:sz w:val="24"/>
              </w:rPr>
              <w:t>7</w:t>
            </w:r>
            <w:r>
              <w:rPr>
                <w:sz w:val="24"/>
              </w:rPr>
              <w:t>。</w:t>
            </w:r>
          </w:p>
          <w:p w14:paraId="5A42B889">
            <w:pPr>
              <w:keepNext w:val="0"/>
              <w:keepLines w:val="0"/>
              <w:suppressLineNumbers w:val="0"/>
              <w:adjustRightInd w:val="0"/>
              <w:snapToGrid w:val="0"/>
              <w:spacing w:before="0" w:beforeAutospacing="0" w:after="0" w:afterAutospacing="0" w:line="360" w:lineRule="auto"/>
              <w:ind w:left="0" w:right="0"/>
              <w:jc w:val="center"/>
              <w:rPr>
                <w:b/>
                <w:bCs/>
                <w:color w:val="000000"/>
                <w:kern w:val="0"/>
                <w:sz w:val="21"/>
                <w:szCs w:val="21"/>
              </w:rPr>
            </w:pPr>
            <w:r>
              <w:rPr>
                <w:b/>
                <w:bCs/>
                <w:color w:val="000000"/>
                <w:kern w:val="0"/>
                <w:sz w:val="21"/>
                <w:szCs w:val="21"/>
              </w:rPr>
              <w:t>表 4-</w:t>
            </w:r>
            <w:r>
              <w:rPr>
                <w:rFonts w:hint="eastAsia"/>
                <w:b/>
                <w:bCs/>
                <w:color w:val="000000"/>
                <w:kern w:val="0"/>
                <w:sz w:val="21"/>
                <w:szCs w:val="21"/>
              </w:rPr>
              <w:t>7</w:t>
            </w:r>
            <w:r>
              <w:rPr>
                <w:rFonts w:hint="eastAsia"/>
                <w:b/>
                <w:bCs/>
                <w:color w:val="000000"/>
                <w:kern w:val="0"/>
                <w:sz w:val="21"/>
                <w:szCs w:val="21"/>
                <w:lang w:val="en-US" w:eastAsia="zh-CN"/>
              </w:rPr>
              <w:t xml:space="preserve">    </w:t>
            </w:r>
            <w:r>
              <w:rPr>
                <w:b/>
                <w:bCs/>
                <w:color w:val="000000"/>
                <w:kern w:val="0"/>
                <w:sz w:val="21"/>
                <w:szCs w:val="21"/>
              </w:rPr>
              <w:t>架空线路类比监测结果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034"/>
              <w:gridCol w:w="1321"/>
              <w:gridCol w:w="1313"/>
            </w:tblGrid>
            <w:tr w14:paraId="2862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2" w:type="dxa"/>
                  <w:vMerge w:val="restart"/>
                  <w:vAlign w:val="center"/>
                </w:tcPr>
                <w:p w14:paraId="6761302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序号</w:t>
                  </w:r>
                </w:p>
              </w:tc>
              <w:tc>
                <w:tcPr>
                  <w:tcW w:w="4034" w:type="dxa"/>
                  <w:vMerge w:val="restart"/>
                  <w:vAlign w:val="center"/>
                </w:tcPr>
                <w:p w14:paraId="31E048B1">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监测点</w:t>
                  </w:r>
                </w:p>
              </w:tc>
              <w:tc>
                <w:tcPr>
                  <w:tcW w:w="2634" w:type="dxa"/>
                  <w:gridSpan w:val="2"/>
                  <w:vAlign w:val="center"/>
                </w:tcPr>
                <w:p w14:paraId="1EF3BA5F">
                  <w:pPr>
                    <w:keepNext w:val="0"/>
                    <w:keepLines w:val="0"/>
                    <w:widowControl/>
                    <w:suppressLineNumbers w:val="0"/>
                    <w:spacing w:before="0" w:beforeAutospacing="0" w:after="0" w:afterAutospacing="0"/>
                    <w:ind w:left="0" w:right="0"/>
                    <w:jc w:val="center"/>
                    <w:rPr>
                      <w:szCs w:val="21"/>
                    </w:rPr>
                  </w:pPr>
                  <w:r>
                    <w:rPr>
                      <w:szCs w:val="21"/>
                    </w:rPr>
                    <w:t>等效声级</w:t>
                  </w:r>
                  <w:r>
                    <w:rPr>
                      <w:b/>
                      <w:bCs/>
                      <w:color w:val="000000"/>
                      <w:kern w:val="0"/>
                      <w:szCs w:val="21"/>
                    </w:rPr>
                    <w:t>dB(A)</w:t>
                  </w:r>
                </w:p>
              </w:tc>
            </w:tr>
            <w:tr w14:paraId="6126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2" w:type="dxa"/>
                  <w:vMerge w:val="continue"/>
                  <w:vAlign w:val="center"/>
                </w:tcPr>
                <w:p w14:paraId="6817BA74">
                  <w:pPr>
                    <w:pStyle w:val="27"/>
                    <w:keepNext w:val="0"/>
                    <w:keepLines w:val="0"/>
                    <w:suppressLineNumbers w:val="0"/>
                    <w:spacing w:before="0" w:beforeAutospacing="0" w:after="0" w:afterAutospacing="0"/>
                    <w:ind w:left="0" w:right="0"/>
                    <w:jc w:val="center"/>
                    <w:rPr>
                      <w:rFonts w:ascii="Times New Roman" w:hAnsi="Times New Roman"/>
                      <w:sz w:val="21"/>
                      <w:szCs w:val="21"/>
                    </w:rPr>
                  </w:pPr>
                </w:p>
              </w:tc>
              <w:tc>
                <w:tcPr>
                  <w:tcW w:w="4034" w:type="dxa"/>
                  <w:vMerge w:val="continue"/>
                  <w:vAlign w:val="center"/>
                </w:tcPr>
                <w:p w14:paraId="7244BD43">
                  <w:pPr>
                    <w:pStyle w:val="27"/>
                    <w:keepNext w:val="0"/>
                    <w:keepLines w:val="0"/>
                    <w:suppressLineNumbers w:val="0"/>
                    <w:spacing w:before="0" w:beforeAutospacing="0" w:after="0" w:afterAutospacing="0"/>
                    <w:ind w:left="0" w:right="0"/>
                    <w:jc w:val="center"/>
                    <w:rPr>
                      <w:rFonts w:ascii="Times New Roman" w:hAnsi="Times New Roman"/>
                      <w:sz w:val="21"/>
                      <w:szCs w:val="21"/>
                    </w:rPr>
                  </w:pPr>
                </w:p>
              </w:tc>
              <w:tc>
                <w:tcPr>
                  <w:tcW w:w="1321" w:type="dxa"/>
                  <w:vAlign w:val="center"/>
                </w:tcPr>
                <w:p w14:paraId="7378ECD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昼间</w:t>
                  </w:r>
                </w:p>
              </w:tc>
              <w:tc>
                <w:tcPr>
                  <w:tcW w:w="1313" w:type="dxa"/>
                  <w:vAlign w:val="center"/>
                </w:tcPr>
                <w:p w14:paraId="345BFAF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夜间</w:t>
                  </w:r>
                </w:p>
              </w:tc>
            </w:tr>
            <w:tr w14:paraId="76F4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5CAD41A0">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w:t>
                  </w:r>
                </w:p>
              </w:tc>
              <w:tc>
                <w:tcPr>
                  <w:tcW w:w="4034" w:type="dxa"/>
                  <w:vAlign w:val="center"/>
                </w:tcPr>
                <w:p w14:paraId="10BC0CA2">
                  <w:pPr>
                    <w:keepNext w:val="0"/>
                    <w:keepLines w:val="0"/>
                    <w:widowControl/>
                    <w:suppressLineNumbers w:val="0"/>
                    <w:spacing w:before="0" w:beforeAutospacing="0" w:after="0" w:afterAutospacing="0"/>
                    <w:ind w:left="0" w:right="0"/>
                    <w:jc w:val="center"/>
                    <w:rPr>
                      <w:szCs w:val="21"/>
                    </w:rPr>
                  </w:pPr>
                  <w:r>
                    <w:rPr>
                      <w:color w:val="000000"/>
                      <w:kern w:val="0"/>
                      <w:szCs w:val="21"/>
                    </w:rPr>
                    <w:t>银钛Ⅰ回220kV线路中心线投影点0m处</w:t>
                  </w:r>
                </w:p>
              </w:tc>
              <w:tc>
                <w:tcPr>
                  <w:tcW w:w="1321" w:type="dxa"/>
                  <w:vAlign w:val="center"/>
                </w:tcPr>
                <w:p w14:paraId="2C635AB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1922E4E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07E7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011877D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2</w:t>
                  </w:r>
                </w:p>
              </w:tc>
              <w:tc>
                <w:tcPr>
                  <w:tcW w:w="4034" w:type="dxa"/>
                  <w:vAlign w:val="center"/>
                </w:tcPr>
                <w:p w14:paraId="2E172F5E">
                  <w:pPr>
                    <w:keepNext w:val="0"/>
                    <w:keepLines w:val="0"/>
                    <w:widowControl/>
                    <w:suppressLineNumbers w:val="0"/>
                    <w:spacing w:before="0" w:beforeAutospacing="0" w:after="0" w:afterAutospacing="0"/>
                    <w:ind w:left="0" w:right="0"/>
                    <w:jc w:val="center"/>
                    <w:rPr>
                      <w:szCs w:val="21"/>
                    </w:rPr>
                  </w:pPr>
                  <w:r>
                    <w:rPr>
                      <w:color w:val="000000"/>
                      <w:kern w:val="0"/>
                      <w:szCs w:val="21"/>
                    </w:rPr>
                    <w:t>银钛Ⅰ回220kV线路中心线投影点1m处</w:t>
                  </w:r>
                </w:p>
              </w:tc>
              <w:tc>
                <w:tcPr>
                  <w:tcW w:w="1321" w:type="dxa"/>
                  <w:vAlign w:val="center"/>
                </w:tcPr>
                <w:p w14:paraId="2B69C601">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1FF83D4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7DE0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1C3C60B1">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3</w:t>
                  </w:r>
                </w:p>
              </w:tc>
              <w:tc>
                <w:tcPr>
                  <w:tcW w:w="4034" w:type="dxa"/>
                  <w:vAlign w:val="center"/>
                </w:tcPr>
                <w:p w14:paraId="77510E4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银钛Ⅰ回220kV线路中心线投影点2m处</w:t>
                  </w:r>
                </w:p>
              </w:tc>
              <w:tc>
                <w:tcPr>
                  <w:tcW w:w="1321" w:type="dxa"/>
                  <w:vAlign w:val="center"/>
                </w:tcPr>
                <w:p w14:paraId="4497321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50</w:t>
                  </w:r>
                </w:p>
              </w:tc>
              <w:tc>
                <w:tcPr>
                  <w:tcW w:w="1313" w:type="dxa"/>
                  <w:vAlign w:val="center"/>
                </w:tcPr>
                <w:p w14:paraId="6EFB004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r w14:paraId="1253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AFD274D">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w:t>
                  </w:r>
                </w:p>
              </w:tc>
              <w:tc>
                <w:tcPr>
                  <w:tcW w:w="4034" w:type="dxa"/>
                  <w:vAlign w:val="center"/>
                </w:tcPr>
                <w:p w14:paraId="3644501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银钛Ⅰ回220kV线路中心线投影点3m处</w:t>
                  </w:r>
                </w:p>
              </w:tc>
              <w:tc>
                <w:tcPr>
                  <w:tcW w:w="1321" w:type="dxa"/>
                  <w:vAlign w:val="center"/>
                </w:tcPr>
                <w:p w14:paraId="2C30966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579C89F9">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501A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751D050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w:t>
                  </w:r>
                </w:p>
              </w:tc>
              <w:tc>
                <w:tcPr>
                  <w:tcW w:w="4034" w:type="dxa"/>
                  <w:vAlign w:val="center"/>
                </w:tcPr>
                <w:p w14:paraId="6CDA9DCD">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银钛Ⅰ回220kV线路中心线投影点4m处</w:t>
                  </w:r>
                </w:p>
              </w:tc>
              <w:tc>
                <w:tcPr>
                  <w:tcW w:w="1321" w:type="dxa"/>
                  <w:vAlign w:val="center"/>
                </w:tcPr>
                <w:p w14:paraId="42D6496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4EA4C082">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5CCF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1F590671">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6</w:t>
                  </w:r>
                </w:p>
              </w:tc>
              <w:tc>
                <w:tcPr>
                  <w:tcW w:w="4034" w:type="dxa"/>
                  <w:vAlign w:val="center"/>
                </w:tcPr>
                <w:p w14:paraId="4F0CBF3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银钛Ⅰ回220kV线路中心线投影点5m处</w:t>
                  </w:r>
                </w:p>
              </w:tc>
              <w:tc>
                <w:tcPr>
                  <w:tcW w:w="1321" w:type="dxa"/>
                  <w:vAlign w:val="center"/>
                </w:tcPr>
                <w:p w14:paraId="6ABA7F99">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3981597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20FD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74608860">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7</w:t>
                  </w:r>
                </w:p>
              </w:tc>
              <w:tc>
                <w:tcPr>
                  <w:tcW w:w="4034" w:type="dxa"/>
                  <w:vAlign w:val="center"/>
                </w:tcPr>
                <w:p w14:paraId="63903FFF">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银钛Ⅰ回220kV线路中心线投影点10m处</w:t>
                  </w:r>
                </w:p>
              </w:tc>
              <w:tc>
                <w:tcPr>
                  <w:tcW w:w="1321" w:type="dxa"/>
                  <w:vAlign w:val="center"/>
                </w:tcPr>
                <w:p w14:paraId="5D9F4356">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51</w:t>
                  </w:r>
                </w:p>
              </w:tc>
              <w:tc>
                <w:tcPr>
                  <w:tcW w:w="1313" w:type="dxa"/>
                  <w:vAlign w:val="center"/>
                </w:tcPr>
                <w:p w14:paraId="082DFCA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r w14:paraId="2912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08E65702">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8</w:t>
                  </w:r>
                </w:p>
              </w:tc>
              <w:tc>
                <w:tcPr>
                  <w:tcW w:w="4034" w:type="dxa"/>
                  <w:vAlign w:val="center"/>
                </w:tcPr>
                <w:p w14:paraId="2720FBBB">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银钛Ⅰ回220kV线路中心线投影点15m处</w:t>
                  </w:r>
                </w:p>
              </w:tc>
              <w:tc>
                <w:tcPr>
                  <w:tcW w:w="1321" w:type="dxa"/>
                  <w:vAlign w:val="center"/>
                </w:tcPr>
                <w:p w14:paraId="406A0541">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48</w:t>
                  </w:r>
                </w:p>
              </w:tc>
              <w:tc>
                <w:tcPr>
                  <w:tcW w:w="1313" w:type="dxa"/>
                  <w:vAlign w:val="center"/>
                </w:tcPr>
                <w:p w14:paraId="098FD54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39</w:t>
                  </w:r>
                </w:p>
              </w:tc>
            </w:tr>
            <w:tr w14:paraId="653C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59E31C49">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9</w:t>
                  </w:r>
                </w:p>
              </w:tc>
              <w:tc>
                <w:tcPr>
                  <w:tcW w:w="4034" w:type="dxa"/>
                  <w:vAlign w:val="center"/>
                </w:tcPr>
                <w:p w14:paraId="648DFA4B">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银钛Ⅰ回220kV线路中心线投影点20m处</w:t>
                  </w:r>
                </w:p>
              </w:tc>
              <w:tc>
                <w:tcPr>
                  <w:tcW w:w="1321" w:type="dxa"/>
                  <w:vAlign w:val="center"/>
                </w:tcPr>
                <w:p w14:paraId="02D7E018">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46</w:t>
                  </w:r>
                </w:p>
              </w:tc>
              <w:tc>
                <w:tcPr>
                  <w:tcW w:w="1313" w:type="dxa"/>
                  <w:vAlign w:val="center"/>
                </w:tcPr>
                <w:p w14:paraId="4AA7CD5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r w14:paraId="6DC6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307B856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10</w:t>
                  </w:r>
                </w:p>
              </w:tc>
              <w:tc>
                <w:tcPr>
                  <w:tcW w:w="4034" w:type="dxa"/>
                  <w:vAlign w:val="center"/>
                </w:tcPr>
                <w:p w14:paraId="237D1320">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银钛Ⅰ回220kV线路中心线投影点25m处</w:t>
                  </w:r>
                </w:p>
              </w:tc>
              <w:tc>
                <w:tcPr>
                  <w:tcW w:w="1321" w:type="dxa"/>
                  <w:vAlign w:val="center"/>
                </w:tcPr>
                <w:p w14:paraId="313FF44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46</w:t>
                  </w:r>
                </w:p>
              </w:tc>
              <w:tc>
                <w:tcPr>
                  <w:tcW w:w="1313" w:type="dxa"/>
                  <w:vAlign w:val="center"/>
                </w:tcPr>
                <w:p w14:paraId="5585600B">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4692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4911B89">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11</w:t>
                  </w:r>
                </w:p>
              </w:tc>
              <w:tc>
                <w:tcPr>
                  <w:tcW w:w="4034" w:type="dxa"/>
                  <w:vAlign w:val="center"/>
                </w:tcPr>
                <w:p w14:paraId="4175D146">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银钛Ⅰ回220kV线路中心线投影点30m处</w:t>
                  </w:r>
                </w:p>
              </w:tc>
              <w:tc>
                <w:tcPr>
                  <w:tcW w:w="1321" w:type="dxa"/>
                  <w:vAlign w:val="center"/>
                </w:tcPr>
                <w:p w14:paraId="65A229A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46</w:t>
                  </w:r>
                </w:p>
              </w:tc>
              <w:tc>
                <w:tcPr>
                  <w:tcW w:w="1313" w:type="dxa"/>
                  <w:vAlign w:val="center"/>
                </w:tcPr>
                <w:p w14:paraId="69D36F8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r w14:paraId="7393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5153A5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12</w:t>
                  </w:r>
                </w:p>
              </w:tc>
              <w:tc>
                <w:tcPr>
                  <w:tcW w:w="4034" w:type="dxa"/>
                  <w:vAlign w:val="center"/>
                </w:tcPr>
                <w:p w14:paraId="4ABF127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银钛Ⅰ回220kV线路中心线投影点35m处</w:t>
                  </w:r>
                </w:p>
              </w:tc>
              <w:tc>
                <w:tcPr>
                  <w:tcW w:w="1321" w:type="dxa"/>
                  <w:vAlign w:val="center"/>
                </w:tcPr>
                <w:p w14:paraId="56D48C16">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45</w:t>
                  </w:r>
                </w:p>
              </w:tc>
              <w:tc>
                <w:tcPr>
                  <w:tcW w:w="1313" w:type="dxa"/>
                  <w:vAlign w:val="center"/>
                </w:tcPr>
                <w:p w14:paraId="3613911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r w14:paraId="35E5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3DAD377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13</w:t>
                  </w:r>
                </w:p>
              </w:tc>
              <w:tc>
                <w:tcPr>
                  <w:tcW w:w="4034" w:type="dxa"/>
                  <w:vAlign w:val="center"/>
                </w:tcPr>
                <w:p w14:paraId="195A5C7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银钛Ⅰ回220kV线路中心线投影点40m处</w:t>
                  </w:r>
                </w:p>
              </w:tc>
              <w:tc>
                <w:tcPr>
                  <w:tcW w:w="1321" w:type="dxa"/>
                  <w:vAlign w:val="center"/>
                </w:tcPr>
                <w:p w14:paraId="71B7C665">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45</w:t>
                  </w:r>
                </w:p>
              </w:tc>
              <w:tc>
                <w:tcPr>
                  <w:tcW w:w="1313" w:type="dxa"/>
                  <w:vAlign w:val="center"/>
                </w:tcPr>
                <w:p w14:paraId="2257DCD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39</w:t>
                  </w:r>
                </w:p>
              </w:tc>
            </w:tr>
            <w:tr w14:paraId="2802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5C3FA287">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14</w:t>
                  </w:r>
                </w:p>
              </w:tc>
              <w:tc>
                <w:tcPr>
                  <w:tcW w:w="4034" w:type="dxa"/>
                  <w:vAlign w:val="center"/>
                </w:tcPr>
                <w:p w14:paraId="71E160E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银钛Ⅰ回220kV线路中心线投影点45m处</w:t>
                  </w:r>
                </w:p>
              </w:tc>
              <w:tc>
                <w:tcPr>
                  <w:tcW w:w="1321" w:type="dxa"/>
                  <w:vAlign w:val="center"/>
                </w:tcPr>
                <w:p w14:paraId="324EC28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45</w:t>
                  </w:r>
                </w:p>
              </w:tc>
              <w:tc>
                <w:tcPr>
                  <w:tcW w:w="1313" w:type="dxa"/>
                  <w:vAlign w:val="center"/>
                </w:tcPr>
                <w:p w14:paraId="20D9D72C">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41</w:t>
                  </w:r>
                </w:p>
              </w:tc>
            </w:tr>
            <w:tr w14:paraId="78AC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34283544">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15</w:t>
                  </w:r>
                </w:p>
              </w:tc>
              <w:tc>
                <w:tcPr>
                  <w:tcW w:w="4034" w:type="dxa"/>
                  <w:vAlign w:val="center"/>
                </w:tcPr>
                <w:p w14:paraId="2168534A">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kern w:val="0"/>
                      <w:sz w:val="21"/>
                      <w:szCs w:val="21"/>
                    </w:rPr>
                    <w:t>银钛Ⅰ回220kV线路中心线投影点50m处</w:t>
                  </w:r>
                </w:p>
              </w:tc>
              <w:tc>
                <w:tcPr>
                  <w:tcW w:w="1321" w:type="dxa"/>
                  <w:vAlign w:val="center"/>
                </w:tcPr>
                <w:p w14:paraId="1973A1BE">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46</w:t>
                  </w:r>
                </w:p>
              </w:tc>
              <w:tc>
                <w:tcPr>
                  <w:tcW w:w="1313" w:type="dxa"/>
                  <w:vAlign w:val="center"/>
                </w:tcPr>
                <w:p w14:paraId="2ADB2163">
                  <w:pPr>
                    <w:pStyle w:val="27"/>
                    <w:keepNext w:val="0"/>
                    <w:keepLines w:val="0"/>
                    <w:suppressLineNumbers w:val="0"/>
                    <w:spacing w:before="0" w:beforeAutospacing="0" w:after="0" w:afterAutospacing="0"/>
                    <w:ind w:left="0" w:right="0"/>
                    <w:jc w:val="center"/>
                    <w:rPr>
                      <w:rFonts w:ascii="Times New Roman" w:hAnsi="Times New Roman"/>
                      <w:sz w:val="21"/>
                      <w:szCs w:val="21"/>
                    </w:rPr>
                  </w:pPr>
                  <w:r>
                    <w:rPr>
                      <w:rFonts w:ascii="Times New Roman" w:hAnsi="Times New Roman"/>
                      <w:sz w:val="21"/>
                      <w:szCs w:val="21"/>
                    </w:rPr>
                    <w:t>40</w:t>
                  </w:r>
                </w:p>
              </w:tc>
            </w:tr>
          </w:tbl>
          <w:p w14:paraId="29CDB1C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sz w:val="24"/>
              </w:rPr>
            </w:pPr>
            <w:r>
              <w:rPr>
                <w:sz w:val="24"/>
              </w:rPr>
              <w:t xml:space="preserve">⑦类比监测分析 </w:t>
            </w:r>
          </w:p>
          <w:p w14:paraId="1902840C">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由类比监测结果可知，运行状态下220kV单回线路弧垂中心下方离地面1.2m高度处的噪声均满足《声环境质量标准》（GB3096-2008）中2类标准（昼间60dB(A)、夜间50dB(A)），线路两侧噪声水平与线路的距离变化差异不大，即220kV输电线路电晕噪声很小，对声环境的影响很小。另根据以往大量运行线路噪声监测结果，220kV线路架空线路产生的电磁噪声比较小，其噪声贡献值相对于环境背景噪声基本可忽略，基本不对背景噪声值产生影响。</w:t>
            </w:r>
          </w:p>
          <w:p w14:paraId="3FE3A5B6">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 xml:space="preserve">（3）声环境影响评价 </w:t>
            </w:r>
          </w:p>
          <w:p w14:paraId="2AC5B395">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综上分析，本项目线路运行时产生噪声不会对周边声环境造成明显影响，沿线声环境可满足《声环境质量标准》（GB3096-2008）中相应的2类标准。</w:t>
            </w:r>
          </w:p>
          <w:p w14:paraId="33DAEE3E">
            <w:pPr>
              <w:pStyle w:val="27"/>
              <w:keepNext w:val="0"/>
              <w:keepLines w:val="0"/>
              <w:suppressLineNumbers w:val="0"/>
              <w:spacing w:before="0" w:beforeAutospacing="0" w:after="0" w:afterAutospacing="0" w:line="360" w:lineRule="auto"/>
              <w:ind w:left="0" w:right="0"/>
              <w:rPr>
                <w:rFonts w:ascii="Times New Roman" w:hAnsi="Times New Roman"/>
                <w:b/>
                <w:bCs/>
                <w:color w:val="auto"/>
              </w:rPr>
            </w:pPr>
            <w:r>
              <w:rPr>
                <w:rFonts w:hint="eastAsia" w:ascii="Times New Roman" w:hAnsi="Times New Roman"/>
                <w:b/>
                <w:bCs/>
                <w:color w:val="auto"/>
              </w:rPr>
              <w:t>4、</w:t>
            </w:r>
            <w:r>
              <w:rPr>
                <w:rFonts w:ascii="Times New Roman" w:hAnsi="Times New Roman"/>
                <w:b/>
                <w:bCs/>
                <w:color w:val="auto"/>
              </w:rPr>
              <w:t>运营期固体废物影响分析</w:t>
            </w:r>
          </w:p>
          <w:p w14:paraId="51936ED4">
            <w:pPr>
              <w:keepNext w:val="0"/>
              <w:keepLines w:val="0"/>
              <w:widowControl/>
              <w:suppressLineNumbers w:val="0"/>
              <w:spacing w:before="0" w:beforeAutospacing="0" w:after="0" w:afterAutospacing="0" w:line="360" w:lineRule="auto"/>
              <w:ind w:left="0" w:right="0" w:firstLine="480" w:firstLineChars="200"/>
              <w:jc w:val="left"/>
              <w:rPr>
                <w:sz w:val="24"/>
              </w:rPr>
            </w:pPr>
            <w:r>
              <w:rPr>
                <w:sz w:val="24"/>
                <w:lang w:val="zh-CN"/>
              </w:rPr>
              <w:t>本项目运营期产生的固体废物主要为：升压站内生活垃圾、废铅酸蓄电池、废变压器油；输电</w:t>
            </w:r>
            <w:r>
              <w:rPr>
                <w:sz w:val="24"/>
              </w:rPr>
              <w:t>线路检修时产生少量检修废弃物，为一般固废，检修完毕后集中收集随检修人员带回至就近垃圾收集点处理。</w:t>
            </w:r>
          </w:p>
          <w:p w14:paraId="2DD77A10">
            <w:pPr>
              <w:keepNext w:val="0"/>
              <w:keepLines w:val="0"/>
              <w:suppressLineNumbers w:val="0"/>
              <w:adjustRightInd w:val="0"/>
              <w:snapToGrid w:val="0"/>
              <w:spacing w:before="0" w:beforeAutospacing="0" w:after="0" w:afterAutospacing="0" w:line="360" w:lineRule="auto"/>
              <w:ind w:left="0" w:right="0"/>
              <w:rPr>
                <w:sz w:val="24"/>
                <w:lang w:val="zh-CN"/>
              </w:rPr>
            </w:pPr>
            <w:r>
              <w:rPr>
                <w:b/>
                <w:sz w:val="24"/>
                <w:lang w:val="zh-CN"/>
              </w:rPr>
              <w:t>4.</w:t>
            </w:r>
            <w:r>
              <w:rPr>
                <w:rFonts w:hint="eastAsia"/>
                <w:b/>
                <w:sz w:val="24"/>
                <w:lang w:val="zh-CN"/>
              </w:rPr>
              <w:t>1生活垃圾</w:t>
            </w:r>
          </w:p>
          <w:p w14:paraId="5A9DD9C5">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本项目生活垃圾按0.5kg/人·d计，本项目定员</w:t>
            </w:r>
            <w:r>
              <w:rPr>
                <w:sz w:val="24"/>
              </w:rPr>
              <w:t>15</w:t>
            </w:r>
            <w:r>
              <w:rPr>
                <w:sz w:val="24"/>
                <w:lang w:val="zh-CN"/>
              </w:rPr>
              <w:t>人，则生活垃圾产生量为</w:t>
            </w:r>
            <w:r>
              <w:rPr>
                <w:sz w:val="24"/>
              </w:rPr>
              <w:t>2.74</w:t>
            </w:r>
            <w:r>
              <w:rPr>
                <w:sz w:val="24"/>
                <w:lang w:val="zh-CN"/>
              </w:rPr>
              <w:t>t/a，本项目设置带盖垃圾箱，生活垃圾集中收集到带盖垃圾箱内，定期清运至库米什镇就近的生活垃圾收集点，最终由库米什镇环卫部门统一清运处置。</w:t>
            </w:r>
          </w:p>
          <w:p w14:paraId="51246D63">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4.2食堂隔油池油泥</w:t>
            </w:r>
          </w:p>
          <w:p w14:paraId="50E859ED">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食堂设置隔油池1个，根据经验值，隔油池油泥量约为0.02t/a，隔油池油泥集中收集后同生活垃圾一并定期清运至库米什镇就近的生活垃圾收集点，最终由库米什镇环卫部门统一清运处置。</w:t>
            </w:r>
          </w:p>
          <w:p w14:paraId="31F45206">
            <w:pPr>
              <w:keepNext w:val="0"/>
              <w:keepLines w:val="0"/>
              <w:suppressLineNumbers w:val="0"/>
              <w:adjustRightInd w:val="0"/>
              <w:snapToGrid w:val="0"/>
              <w:spacing w:before="0" w:beforeAutospacing="0" w:after="0" w:afterAutospacing="0" w:line="360" w:lineRule="auto"/>
              <w:ind w:left="0" w:right="0"/>
              <w:rPr>
                <w:b/>
                <w:color w:val="000000" w:themeColor="text1"/>
                <w:sz w:val="24"/>
                <w:lang w:val="zh-CN"/>
              </w:rPr>
            </w:pPr>
            <w:r>
              <w:rPr>
                <w:rFonts w:hint="eastAsia"/>
                <w:b/>
                <w:color w:val="000000" w:themeColor="text1"/>
                <w:sz w:val="24"/>
                <w:lang w:val="zh-CN"/>
              </w:rPr>
              <w:t>4.3磷酸铁锂电池</w:t>
            </w:r>
          </w:p>
          <w:p w14:paraId="7DCFBF9E">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sz w:val="24"/>
                <w:lang w:val="zh-CN"/>
              </w:rPr>
            </w:pPr>
            <w:r>
              <w:rPr>
                <w:rFonts w:hint="eastAsia"/>
                <w:color w:val="000000" w:themeColor="text1"/>
                <w:sz w:val="24"/>
                <w:lang w:val="zh-CN"/>
              </w:rPr>
              <w:t>市面上磷酸铁锂电池循环寿命普遍达2000次，甚至达到3500次以上，而对于光电储能，要求达到4000-5000次以上，才可保证8-10年的使用寿命；本项目储能装置采用综合性能优越的磷酸铁锂电池，循环次数可达6000次。磷酸铁锂电池正极材料电化学性能比较稳定，这决定了它具有平稳的充放电平台，因此，在充放电过程中电池的结构不会发生变化，不会燃烧爆炸，并且即使在短路、过充、挤压、针刺等特殊条件下，仍然是非常安全的。本项目使用的磷酸铁锂电池8-10年更换，废电池产生量约1.5t，在《国家危险废物名录》（2025年版）中无相应的废物类别，根据《一般固体废物分类及代码》中废物分类将其定义其他废物，代码为900-999-99，当磷酸铁锂电池全部需要更换时，将提前通知厂家，不暂存，直接由厂家进行回收。</w:t>
            </w:r>
          </w:p>
          <w:p w14:paraId="624A8BBE">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4.</w:t>
            </w:r>
            <w:r>
              <w:rPr>
                <w:rFonts w:hint="eastAsia"/>
                <w:b/>
                <w:sz w:val="24"/>
              </w:rPr>
              <w:t>4</w:t>
            </w:r>
            <w:r>
              <w:rPr>
                <w:b/>
                <w:sz w:val="24"/>
                <w:lang w:val="zh-CN"/>
              </w:rPr>
              <w:t>废铅酸蓄电池</w:t>
            </w:r>
          </w:p>
          <w:p w14:paraId="32DF5A60">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在升压站中，直流系统是核心，用于站内一次设备和二次保护设备的供电。而直流系统中提供能源是铅酸蓄电池，运营期本项目</w:t>
            </w:r>
            <w:r>
              <w:rPr>
                <w:sz w:val="24"/>
              </w:rPr>
              <w:t>升压</w:t>
            </w:r>
            <w:r>
              <w:rPr>
                <w:sz w:val="24"/>
                <w:lang w:val="zh-CN"/>
              </w:rPr>
              <w:t>站使用的是</w:t>
            </w:r>
            <w:r>
              <w:rPr>
                <w:rFonts w:hint="eastAsia"/>
                <w:sz w:val="24"/>
              </w:rPr>
              <w:t>2</w:t>
            </w:r>
            <w:r>
              <w:rPr>
                <w:sz w:val="24"/>
                <w:lang w:val="zh-CN"/>
              </w:rPr>
              <w:t>组</w:t>
            </w:r>
            <w:r>
              <w:rPr>
                <w:rFonts w:hint="eastAsia"/>
                <w:sz w:val="24"/>
                <w:lang w:val="zh-CN"/>
              </w:rPr>
              <w:t>容量为600Anh的</w:t>
            </w:r>
            <w:r>
              <w:rPr>
                <w:sz w:val="24"/>
                <w:lang w:val="zh-CN"/>
              </w:rPr>
              <w:t>铅酸蓄电池，</w:t>
            </w:r>
            <w:r>
              <w:rPr>
                <w:rFonts w:hint="eastAsia"/>
                <w:sz w:val="24"/>
                <w:lang w:val="zh-CN"/>
              </w:rPr>
              <w:t>重量共计200kg</w:t>
            </w:r>
            <w:r>
              <w:rPr>
                <w:sz w:val="24"/>
                <w:lang w:val="zh-CN"/>
              </w:rPr>
              <w:t>，其正常寿命在5年。故本次评价废铅酸蓄电池报废周期按照每5年更换一次，本项目废铅酸蓄电池量约为</w:t>
            </w:r>
            <w:r>
              <w:rPr>
                <w:rFonts w:hint="eastAsia"/>
                <w:sz w:val="24"/>
              </w:rPr>
              <w:t>0.2</w:t>
            </w:r>
            <w:r>
              <w:rPr>
                <w:sz w:val="24"/>
                <w:lang w:val="zh-CN"/>
              </w:rPr>
              <w:t>t/5a，根据《国家危险废物名录（2025年版）》，废铅酸蓄电池属于危险废物，危险废物类别为：HW31含铅废物，废物代码为：900-052-31。</w:t>
            </w:r>
          </w:p>
          <w:p w14:paraId="3FAF9C17">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本环评要求在升压站的内设置1间危废暂存间，占地面积20m</w:t>
            </w:r>
            <w:r>
              <w:rPr>
                <w:sz w:val="24"/>
                <w:vertAlign w:val="superscript"/>
                <w:lang w:val="zh-CN"/>
              </w:rPr>
              <w:t>2</w:t>
            </w:r>
            <w:r>
              <w:rPr>
                <w:sz w:val="24"/>
                <w:lang w:val="zh-CN"/>
              </w:rPr>
              <w:t>，本项目产生的废铅酸蓄电池收集到密封的耐酸、耐腐蚀转运箱，暂存于危废暂存间，最终交给有危险废物处置资质的单位转移处置。根据《国家危险废物名录（2025年版）》，未破损的废铅蓄电池在运输环节，运输工具满足防雨、防渗漏、防遗撒要求后，可不按危险废物进行运输。</w:t>
            </w:r>
          </w:p>
          <w:p w14:paraId="58254EEA">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4.</w:t>
            </w:r>
            <w:r>
              <w:rPr>
                <w:b/>
                <w:sz w:val="24"/>
              </w:rPr>
              <w:t>4</w:t>
            </w:r>
            <w:r>
              <w:rPr>
                <w:b/>
                <w:sz w:val="24"/>
                <w:lang w:val="zh-CN"/>
              </w:rPr>
              <w:t>废变压器油</w:t>
            </w:r>
          </w:p>
          <w:p w14:paraId="2C3B56D8">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升压站内的变压器、电抗器等设备，为了绝缘和冷却的需要，在变压器外壳内装有大量的变压器油，一般只有检修及事故情况下才会产生油污染。</w:t>
            </w:r>
          </w:p>
          <w:p w14:paraId="2A2BEEFD">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根据《火力发电厂与变电站设计防火标准》(GB50229-2019)及《电力设备典型消防规程》(DL5027-2015)要求,屋内单台总油量为100kg以上的电气设备，应设置贮油或挡油设施。根据《火力发电厂与变电站设计防火标准》(GB50229-2019)规定：总事故储油池有效容积应保证容纳全部事故排油量，总事故储油池有效容积应按最大主变油量的100%设计。挡油设施的容积宜按油量的20％设计，并应设置能将事故油排至安全处的设施。</w:t>
            </w:r>
          </w:p>
          <w:p w14:paraId="0984151E">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本项目单台变压器油重约</w:t>
            </w:r>
            <w:r>
              <w:rPr>
                <w:rFonts w:hint="eastAsia"/>
                <w:sz w:val="24"/>
              </w:rPr>
              <w:t>57</w:t>
            </w:r>
            <w:r>
              <w:rPr>
                <w:sz w:val="24"/>
                <w:lang w:val="zh-CN"/>
              </w:rPr>
              <w:t>t</w:t>
            </w:r>
            <w:r>
              <w:rPr>
                <w:rFonts w:hint="eastAsia"/>
                <w:sz w:val="24"/>
                <w:lang w:val="zh-CN"/>
              </w:rPr>
              <w:t>（</w:t>
            </w:r>
            <w:r>
              <w:rPr>
                <w:sz w:val="24"/>
                <w:lang w:val="zh-CN"/>
              </w:rPr>
              <w:t>约</w:t>
            </w:r>
            <w:r>
              <w:rPr>
                <w:rFonts w:hint="eastAsia"/>
                <w:sz w:val="24"/>
              </w:rPr>
              <w:t>63.7</w:t>
            </w:r>
            <w:r>
              <w:rPr>
                <w:sz w:val="24"/>
                <w:lang w:val="zh-CN"/>
              </w:rPr>
              <w:t>m</w:t>
            </w:r>
            <w:r>
              <w:rPr>
                <w:sz w:val="24"/>
                <w:vertAlign w:val="superscript"/>
                <w:lang w:val="zh-CN"/>
              </w:rPr>
              <w:t>3</w:t>
            </w:r>
            <w:r>
              <w:rPr>
                <w:rFonts w:hint="eastAsia"/>
                <w:sz w:val="24"/>
                <w:vertAlign w:val="superscript"/>
                <w:lang w:val="zh-CN"/>
              </w:rPr>
              <w:t>）</w:t>
            </w:r>
            <w:r>
              <w:rPr>
                <w:sz w:val="24"/>
                <w:lang w:val="zh-CN"/>
              </w:rPr>
              <w:t>，本项目变压器底部设地下钢筋混凝土贮油坑，设计容积</w:t>
            </w:r>
            <w:r>
              <w:rPr>
                <w:rFonts w:hint="eastAsia"/>
                <w:sz w:val="24"/>
              </w:rPr>
              <w:t>15</w:t>
            </w:r>
            <w:r>
              <w:rPr>
                <w:sz w:val="24"/>
                <w:lang w:val="zh-CN"/>
              </w:rPr>
              <w:t>m</w:t>
            </w:r>
            <w:r>
              <w:rPr>
                <w:sz w:val="24"/>
                <w:vertAlign w:val="superscript"/>
                <w:lang w:val="zh-CN"/>
              </w:rPr>
              <w:t>3</w:t>
            </w:r>
            <w:r>
              <w:rPr>
                <w:sz w:val="24"/>
                <w:lang w:val="zh-CN"/>
              </w:rPr>
              <w:t>，大于主变油量的20%，贮油坑四周设挡油坎，高出地面100mm。坑内铺设卵石，坑底设有排油管，能将事故油排至事故油池中。本项目设计在升压站内建设事故油池1座</w:t>
            </w:r>
            <w:r>
              <w:rPr>
                <w:rFonts w:hint="eastAsia"/>
                <w:sz w:val="24"/>
                <w:lang w:val="zh-CN"/>
              </w:rPr>
              <w:t>（</w:t>
            </w:r>
            <w:r>
              <w:rPr>
                <w:sz w:val="24"/>
                <w:lang w:val="zh-CN"/>
              </w:rPr>
              <w:t>容积</w:t>
            </w:r>
            <w:r>
              <w:rPr>
                <w:rFonts w:hint="eastAsia"/>
                <w:sz w:val="24"/>
              </w:rPr>
              <w:t>70</w:t>
            </w:r>
            <w:r>
              <w:rPr>
                <w:sz w:val="24"/>
                <w:lang w:val="zh-CN"/>
              </w:rPr>
              <w:t>m</w:t>
            </w:r>
            <w:r>
              <w:rPr>
                <w:sz w:val="24"/>
                <w:vertAlign w:val="superscript"/>
                <w:lang w:val="zh-CN"/>
              </w:rPr>
              <w:t>3</w:t>
            </w:r>
            <w:r>
              <w:rPr>
                <w:rFonts w:hint="eastAsia"/>
                <w:sz w:val="24"/>
                <w:lang w:val="zh-CN"/>
              </w:rPr>
              <w:t>）</w:t>
            </w:r>
            <w:r>
              <w:rPr>
                <w:sz w:val="24"/>
                <w:lang w:val="zh-CN"/>
              </w:rPr>
              <w:t>，可使变压器在发生事故时，壳体内的油经过铸铁管排入事故油池，防止变压器油随意乱排造成对环境的污染。本项目单台变压器油重约</w:t>
            </w:r>
            <w:r>
              <w:rPr>
                <w:rFonts w:hint="eastAsia"/>
                <w:sz w:val="24"/>
              </w:rPr>
              <w:t>57</w:t>
            </w:r>
            <w:r>
              <w:rPr>
                <w:sz w:val="24"/>
                <w:lang w:val="zh-CN"/>
              </w:rPr>
              <w:t>t(约</w:t>
            </w:r>
            <w:r>
              <w:rPr>
                <w:rFonts w:hint="eastAsia"/>
                <w:sz w:val="24"/>
              </w:rPr>
              <w:t>63.7</w:t>
            </w:r>
            <w:r>
              <w:rPr>
                <w:sz w:val="24"/>
                <w:lang w:val="zh-CN"/>
              </w:rPr>
              <w:t>m</w:t>
            </w:r>
            <w:r>
              <w:rPr>
                <w:sz w:val="24"/>
                <w:vertAlign w:val="superscript"/>
                <w:lang w:val="zh-CN"/>
              </w:rPr>
              <w:t>3</w:t>
            </w:r>
            <w:r>
              <w:rPr>
                <w:sz w:val="24"/>
                <w:lang w:val="zh-CN"/>
              </w:rPr>
              <w:t>)，事故油池容积</w:t>
            </w:r>
            <w:r>
              <w:rPr>
                <w:rFonts w:hint="eastAsia"/>
                <w:sz w:val="24"/>
              </w:rPr>
              <w:t>70</w:t>
            </w:r>
            <w:r>
              <w:rPr>
                <w:sz w:val="24"/>
                <w:lang w:val="zh-CN"/>
              </w:rPr>
              <w:t>m</w:t>
            </w:r>
            <w:r>
              <w:rPr>
                <w:sz w:val="24"/>
                <w:vertAlign w:val="superscript"/>
                <w:lang w:val="zh-CN"/>
              </w:rPr>
              <w:t>3</w:t>
            </w:r>
            <w:r>
              <w:rPr>
                <w:sz w:val="24"/>
                <w:lang w:val="zh-CN"/>
              </w:rPr>
              <w:t>，满足最大单台变压器100%排油量要求。本项目的变压器下的储油坑及事故油池建设满足《火力发电厂与变电站设计防火标准》(GB50229-2019)及《电力设备典型消防规程》(DL5027-2015)规范要求。</w:t>
            </w:r>
          </w:p>
          <w:p w14:paraId="70CD1BE2">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对照《国家危险废物名录（2025年版）》，废变压器油属于危险废物，危险废物类别为：HW08 废矿物油与含矿物油废物，废物代码为：900-220-08，本环评要求在升压站内设置1间危废暂存间，占地面积20m</w:t>
            </w:r>
            <w:r>
              <w:rPr>
                <w:sz w:val="24"/>
                <w:vertAlign w:val="superscript"/>
                <w:lang w:val="zh-CN"/>
              </w:rPr>
              <w:t>2</w:t>
            </w:r>
            <w:r>
              <w:rPr>
                <w:sz w:val="24"/>
                <w:lang w:val="zh-CN"/>
              </w:rPr>
              <w:t>，本项目产生的废变压器油收集到密封容器内，暂存于危废暂存间，最终交</w:t>
            </w:r>
            <w:r>
              <w:rPr>
                <w:sz w:val="24"/>
              </w:rPr>
              <w:t>给</w:t>
            </w:r>
            <w:r>
              <w:rPr>
                <w:sz w:val="24"/>
                <w:lang w:val="zh-CN"/>
              </w:rPr>
              <w:t>有</w:t>
            </w:r>
            <w:r>
              <w:rPr>
                <w:sz w:val="24"/>
              </w:rPr>
              <w:t>危险废物</w:t>
            </w:r>
            <w:r>
              <w:rPr>
                <w:sz w:val="24"/>
                <w:lang w:val="zh-CN"/>
              </w:rPr>
              <w:t>处置资质的单位</w:t>
            </w:r>
            <w:r>
              <w:rPr>
                <w:sz w:val="24"/>
              </w:rPr>
              <w:t>转移处置</w:t>
            </w:r>
            <w:r>
              <w:rPr>
                <w:sz w:val="24"/>
                <w:lang w:val="zh-CN"/>
              </w:rPr>
              <w:t>。</w:t>
            </w:r>
          </w:p>
          <w:p w14:paraId="78A0EE48">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根据《建设项目危险废物环境影响评价指南》危险废物污染防治措施情况汇总，详见表</w:t>
            </w:r>
            <w:r>
              <w:rPr>
                <w:sz w:val="24"/>
              </w:rPr>
              <w:t>4-</w:t>
            </w:r>
            <w:r>
              <w:rPr>
                <w:rFonts w:hint="eastAsia"/>
                <w:sz w:val="24"/>
              </w:rPr>
              <w:t>8</w:t>
            </w:r>
            <w:r>
              <w:rPr>
                <w:sz w:val="24"/>
                <w:lang w:val="zh-CN"/>
              </w:rPr>
              <w:t>。</w:t>
            </w:r>
          </w:p>
          <w:p w14:paraId="192558D7">
            <w:pPr>
              <w:keepNext w:val="0"/>
              <w:keepLines w:val="0"/>
              <w:suppressLineNumbers w:val="0"/>
              <w:adjustRightInd w:val="0"/>
              <w:snapToGrid w:val="0"/>
              <w:spacing w:before="0" w:beforeAutospacing="0" w:after="0" w:afterAutospacing="0" w:line="360" w:lineRule="auto"/>
              <w:ind w:left="0" w:right="0"/>
              <w:jc w:val="center"/>
              <w:rPr>
                <w:b/>
                <w:sz w:val="21"/>
                <w:szCs w:val="21"/>
                <w:lang w:val="zh-CN"/>
              </w:rPr>
            </w:pPr>
          </w:p>
          <w:p w14:paraId="2144C130">
            <w:pPr>
              <w:keepNext w:val="0"/>
              <w:keepLines w:val="0"/>
              <w:suppressLineNumbers w:val="0"/>
              <w:adjustRightInd w:val="0"/>
              <w:snapToGrid w:val="0"/>
              <w:spacing w:before="0" w:beforeAutospacing="0" w:after="0" w:afterAutospacing="0" w:line="360" w:lineRule="auto"/>
              <w:ind w:left="0" w:right="0"/>
              <w:jc w:val="center"/>
              <w:rPr>
                <w:b/>
                <w:sz w:val="21"/>
                <w:szCs w:val="21"/>
                <w:lang w:val="zh-CN"/>
              </w:rPr>
            </w:pPr>
          </w:p>
          <w:p w14:paraId="1583B2F5">
            <w:pPr>
              <w:keepNext w:val="0"/>
              <w:keepLines w:val="0"/>
              <w:suppressLineNumbers w:val="0"/>
              <w:adjustRightInd w:val="0"/>
              <w:snapToGrid w:val="0"/>
              <w:spacing w:before="0" w:beforeAutospacing="0" w:after="0" w:afterAutospacing="0" w:line="360" w:lineRule="auto"/>
              <w:ind w:left="0" w:right="0"/>
              <w:jc w:val="center"/>
              <w:rPr>
                <w:b/>
                <w:sz w:val="21"/>
                <w:szCs w:val="21"/>
                <w:lang w:val="zh-CN"/>
              </w:rPr>
            </w:pPr>
          </w:p>
          <w:p w14:paraId="4C7819A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b/>
                <w:sz w:val="21"/>
                <w:szCs w:val="21"/>
                <w:lang w:val="zh-CN"/>
              </w:rPr>
            </w:pPr>
            <w:r>
              <w:rPr>
                <w:b/>
                <w:sz w:val="21"/>
                <w:szCs w:val="21"/>
                <w:lang w:val="zh-CN"/>
              </w:rPr>
              <w:t>表</w:t>
            </w:r>
            <w:r>
              <w:rPr>
                <w:b/>
                <w:sz w:val="21"/>
                <w:szCs w:val="21"/>
              </w:rPr>
              <w:t>4-</w:t>
            </w:r>
            <w:r>
              <w:rPr>
                <w:rFonts w:hint="eastAsia"/>
                <w:b/>
                <w:sz w:val="21"/>
                <w:szCs w:val="21"/>
              </w:rPr>
              <w:t>8</w:t>
            </w:r>
            <w:r>
              <w:rPr>
                <w:rFonts w:hint="eastAsia"/>
                <w:b/>
                <w:sz w:val="21"/>
                <w:szCs w:val="21"/>
                <w:lang w:val="en-US" w:eastAsia="zh-CN"/>
              </w:rPr>
              <w:t xml:space="preserve"> </w:t>
            </w:r>
            <w:r>
              <w:rPr>
                <w:b/>
                <w:sz w:val="21"/>
                <w:szCs w:val="21"/>
                <w:lang w:val="zh-CN"/>
              </w:rPr>
              <w:t xml:space="preserve">  危险废物产生及处置情况表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791"/>
              <w:gridCol w:w="1290"/>
              <w:gridCol w:w="807"/>
              <w:gridCol w:w="807"/>
              <w:gridCol w:w="510"/>
              <w:gridCol w:w="426"/>
              <w:gridCol w:w="509"/>
              <w:gridCol w:w="656"/>
              <w:gridCol w:w="556"/>
              <w:gridCol w:w="1188"/>
            </w:tblGrid>
            <w:tr w14:paraId="263C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C6037D9">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名称</w:t>
                  </w:r>
                </w:p>
              </w:tc>
              <w:tc>
                <w:tcPr>
                  <w:tcW w:w="492" w:type="pct"/>
                  <w:vAlign w:val="center"/>
                </w:tcPr>
                <w:p w14:paraId="4313C9D1">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危废</w:t>
                  </w:r>
                </w:p>
                <w:p w14:paraId="164D3F7E">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类别</w:t>
                  </w:r>
                </w:p>
              </w:tc>
              <w:tc>
                <w:tcPr>
                  <w:tcW w:w="799" w:type="pct"/>
                  <w:vAlign w:val="center"/>
                </w:tcPr>
                <w:p w14:paraId="6A3026A3">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危废代码</w:t>
                  </w:r>
                </w:p>
              </w:tc>
              <w:tc>
                <w:tcPr>
                  <w:tcW w:w="502" w:type="pct"/>
                  <w:vAlign w:val="center"/>
                </w:tcPr>
                <w:p w14:paraId="1533CBA3">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年产量t/a</w:t>
                  </w:r>
                </w:p>
              </w:tc>
              <w:tc>
                <w:tcPr>
                  <w:tcW w:w="502" w:type="pct"/>
                  <w:vAlign w:val="center"/>
                </w:tcPr>
                <w:p w14:paraId="40CDEA8D">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生产</w:t>
                  </w:r>
                </w:p>
                <w:p w14:paraId="46F5AC8D">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工序</w:t>
                  </w:r>
                </w:p>
              </w:tc>
              <w:tc>
                <w:tcPr>
                  <w:tcW w:w="319" w:type="pct"/>
                  <w:vAlign w:val="center"/>
                </w:tcPr>
                <w:p w14:paraId="3C918F7E">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形态</w:t>
                  </w:r>
                </w:p>
              </w:tc>
              <w:tc>
                <w:tcPr>
                  <w:tcW w:w="241" w:type="pct"/>
                  <w:vAlign w:val="center"/>
                </w:tcPr>
                <w:p w14:paraId="6C7ADEC6">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主要成分</w:t>
                  </w:r>
                </w:p>
              </w:tc>
              <w:tc>
                <w:tcPr>
                  <w:tcW w:w="318" w:type="pct"/>
                  <w:vAlign w:val="center"/>
                </w:tcPr>
                <w:p w14:paraId="5DAB24B9">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有害成分</w:t>
                  </w:r>
                </w:p>
              </w:tc>
              <w:tc>
                <w:tcPr>
                  <w:tcW w:w="408" w:type="pct"/>
                  <w:vAlign w:val="center"/>
                </w:tcPr>
                <w:p w14:paraId="134B9EEC">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产废</w:t>
                  </w:r>
                </w:p>
                <w:p w14:paraId="364E3A7C">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周期</w:t>
                  </w:r>
                </w:p>
              </w:tc>
              <w:tc>
                <w:tcPr>
                  <w:tcW w:w="321" w:type="pct"/>
                  <w:vAlign w:val="center"/>
                </w:tcPr>
                <w:p w14:paraId="528DE8FE">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危废</w:t>
                  </w:r>
                </w:p>
                <w:p w14:paraId="093898C2">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特性</w:t>
                  </w:r>
                </w:p>
              </w:tc>
              <w:tc>
                <w:tcPr>
                  <w:tcW w:w="736" w:type="pct"/>
                  <w:vAlign w:val="center"/>
                </w:tcPr>
                <w:p w14:paraId="129DA282">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处置措施</w:t>
                  </w:r>
                </w:p>
              </w:tc>
            </w:tr>
            <w:tr w14:paraId="573C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4E8BDDB">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废变压器油</w:t>
                  </w:r>
                </w:p>
              </w:tc>
              <w:tc>
                <w:tcPr>
                  <w:tcW w:w="492" w:type="pct"/>
                  <w:vAlign w:val="center"/>
                </w:tcPr>
                <w:p w14:paraId="2169A332">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HW08 废矿物油与含矿物油废物</w:t>
                  </w:r>
                </w:p>
              </w:tc>
              <w:tc>
                <w:tcPr>
                  <w:tcW w:w="799" w:type="pct"/>
                  <w:vAlign w:val="center"/>
                </w:tcPr>
                <w:p w14:paraId="020CFBB8">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900-220-08</w:t>
                  </w:r>
                </w:p>
              </w:tc>
              <w:tc>
                <w:tcPr>
                  <w:tcW w:w="502" w:type="pct"/>
                  <w:vAlign w:val="center"/>
                </w:tcPr>
                <w:p w14:paraId="1BC16861">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主变事故情况下废变压器油产生量视事故情况待定</w:t>
                  </w:r>
                </w:p>
              </w:tc>
              <w:tc>
                <w:tcPr>
                  <w:tcW w:w="502" w:type="pct"/>
                  <w:vAlign w:val="center"/>
                </w:tcPr>
                <w:p w14:paraId="643599DB">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检修及事故情况下产生</w:t>
                  </w:r>
                </w:p>
              </w:tc>
              <w:tc>
                <w:tcPr>
                  <w:tcW w:w="319" w:type="pct"/>
                  <w:vAlign w:val="center"/>
                </w:tcPr>
                <w:p w14:paraId="45834C6A">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液态</w:t>
                  </w:r>
                </w:p>
              </w:tc>
              <w:tc>
                <w:tcPr>
                  <w:tcW w:w="241" w:type="pct"/>
                  <w:vAlign w:val="center"/>
                </w:tcPr>
                <w:p w14:paraId="42742E26">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油</w:t>
                  </w:r>
                </w:p>
              </w:tc>
              <w:tc>
                <w:tcPr>
                  <w:tcW w:w="318" w:type="pct"/>
                  <w:vAlign w:val="center"/>
                </w:tcPr>
                <w:p w14:paraId="6467B098">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油</w:t>
                  </w:r>
                </w:p>
              </w:tc>
              <w:tc>
                <w:tcPr>
                  <w:tcW w:w="408" w:type="pct"/>
                  <w:vAlign w:val="center"/>
                </w:tcPr>
                <w:p w14:paraId="2EE20001">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检修及事故情况下</w:t>
                  </w:r>
                </w:p>
              </w:tc>
              <w:tc>
                <w:tcPr>
                  <w:tcW w:w="321" w:type="pct"/>
                  <w:vAlign w:val="center"/>
                </w:tcPr>
                <w:p w14:paraId="21A6BD66">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T，I</w:t>
                  </w:r>
                </w:p>
              </w:tc>
              <w:tc>
                <w:tcPr>
                  <w:tcW w:w="736" w:type="pct"/>
                  <w:vAlign w:val="center"/>
                </w:tcPr>
                <w:p w14:paraId="3449FE44">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lang w:val="zh-CN"/>
                    </w:rPr>
                    <w:t>废变压器油收集到密封容器内，暂存于危废暂存间，最终交</w:t>
                  </w:r>
                  <w:r>
                    <w:rPr>
                      <w:rFonts w:ascii="Times New Roman" w:hAnsi="Times New Roman"/>
                      <w:bCs/>
                      <w:szCs w:val="21"/>
                    </w:rPr>
                    <w:t>给</w:t>
                  </w:r>
                  <w:r>
                    <w:rPr>
                      <w:rFonts w:ascii="Times New Roman" w:hAnsi="Times New Roman"/>
                      <w:bCs/>
                      <w:szCs w:val="21"/>
                      <w:lang w:val="zh-CN"/>
                    </w:rPr>
                    <w:t>有</w:t>
                  </w:r>
                  <w:r>
                    <w:rPr>
                      <w:rFonts w:ascii="Times New Roman" w:hAnsi="Times New Roman"/>
                      <w:bCs/>
                      <w:szCs w:val="21"/>
                    </w:rPr>
                    <w:t>危险废物</w:t>
                  </w:r>
                  <w:r>
                    <w:rPr>
                      <w:rFonts w:ascii="Times New Roman" w:hAnsi="Times New Roman"/>
                      <w:bCs/>
                      <w:szCs w:val="21"/>
                      <w:lang w:val="zh-CN"/>
                    </w:rPr>
                    <w:t>处置资质的单位</w:t>
                  </w:r>
                  <w:r>
                    <w:rPr>
                      <w:rFonts w:ascii="Times New Roman" w:hAnsi="Times New Roman"/>
                      <w:bCs/>
                      <w:szCs w:val="21"/>
                    </w:rPr>
                    <w:t>转移处置</w:t>
                  </w:r>
                </w:p>
              </w:tc>
            </w:tr>
            <w:tr w14:paraId="10B9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F4ECBB0">
                  <w:pPr>
                    <w:pStyle w:val="10"/>
                    <w:keepNext w:val="0"/>
                    <w:keepLines w:val="0"/>
                    <w:suppressLineNumbers w:val="0"/>
                    <w:spacing w:before="0" w:beforeAutospacing="0" w:after="0" w:afterAutospacing="0" w:line="240" w:lineRule="exact"/>
                    <w:ind w:left="0" w:right="0"/>
                    <w:jc w:val="center"/>
                    <w:rPr>
                      <w:rFonts w:ascii="Times New Roman" w:hAnsi="Times New Roman"/>
                      <w:szCs w:val="21"/>
                    </w:rPr>
                  </w:pPr>
                  <w:r>
                    <w:rPr>
                      <w:rFonts w:ascii="Times New Roman" w:hAnsi="Times New Roman"/>
                      <w:szCs w:val="21"/>
                    </w:rPr>
                    <w:t>废铅</w:t>
                  </w:r>
                  <w:r>
                    <w:rPr>
                      <w:rFonts w:ascii="Times New Roman" w:hAnsi="Times New Roman"/>
                      <w:szCs w:val="21"/>
                      <w:lang w:val="zh-CN"/>
                    </w:rPr>
                    <w:t>酸</w:t>
                  </w:r>
                  <w:r>
                    <w:rPr>
                      <w:rFonts w:ascii="Times New Roman" w:hAnsi="Times New Roman"/>
                      <w:szCs w:val="21"/>
                    </w:rPr>
                    <w:t>蓄电池</w:t>
                  </w:r>
                </w:p>
              </w:tc>
              <w:tc>
                <w:tcPr>
                  <w:tcW w:w="492" w:type="pct"/>
                  <w:vAlign w:val="center"/>
                </w:tcPr>
                <w:p w14:paraId="6085BF08">
                  <w:pPr>
                    <w:pStyle w:val="10"/>
                    <w:keepNext w:val="0"/>
                    <w:keepLines w:val="0"/>
                    <w:suppressLineNumbers w:val="0"/>
                    <w:spacing w:before="0" w:beforeAutospacing="0" w:after="0" w:afterAutospacing="0" w:line="240" w:lineRule="exact"/>
                    <w:ind w:left="0" w:right="0"/>
                    <w:jc w:val="center"/>
                    <w:rPr>
                      <w:rFonts w:ascii="Times New Roman" w:hAnsi="Times New Roman"/>
                      <w:szCs w:val="21"/>
                    </w:rPr>
                  </w:pPr>
                  <w:r>
                    <w:rPr>
                      <w:rFonts w:ascii="Times New Roman" w:hAnsi="Times New Roman"/>
                      <w:szCs w:val="21"/>
                    </w:rPr>
                    <w:t>HW31含铅废物</w:t>
                  </w:r>
                </w:p>
              </w:tc>
              <w:tc>
                <w:tcPr>
                  <w:tcW w:w="799" w:type="pct"/>
                  <w:vAlign w:val="center"/>
                </w:tcPr>
                <w:p w14:paraId="49E1C646">
                  <w:pPr>
                    <w:pStyle w:val="10"/>
                    <w:keepNext w:val="0"/>
                    <w:keepLines w:val="0"/>
                    <w:suppressLineNumbers w:val="0"/>
                    <w:spacing w:before="0" w:beforeAutospacing="0" w:after="0" w:afterAutospacing="0" w:line="240" w:lineRule="exact"/>
                    <w:ind w:left="0" w:right="0"/>
                    <w:jc w:val="center"/>
                    <w:rPr>
                      <w:rFonts w:ascii="Times New Roman" w:hAnsi="Times New Roman"/>
                      <w:color w:val="000000" w:themeColor="text1"/>
                      <w:szCs w:val="21"/>
                    </w:rPr>
                  </w:pPr>
                  <w:r>
                    <w:rPr>
                      <w:rFonts w:ascii="Times New Roman" w:hAnsi="Times New Roman"/>
                      <w:color w:val="000000" w:themeColor="text1"/>
                      <w:szCs w:val="21"/>
                      <w:lang w:val="zh-CN"/>
                    </w:rPr>
                    <w:t>900-052-31</w:t>
                  </w:r>
                </w:p>
              </w:tc>
              <w:tc>
                <w:tcPr>
                  <w:tcW w:w="502" w:type="pct"/>
                  <w:vAlign w:val="center"/>
                </w:tcPr>
                <w:p w14:paraId="3E427D15">
                  <w:pPr>
                    <w:pStyle w:val="10"/>
                    <w:keepNext w:val="0"/>
                    <w:keepLines w:val="0"/>
                    <w:suppressLineNumbers w:val="0"/>
                    <w:spacing w:before="0" w:beforeAutospacing="0" w:after="0" w:afterAutospacing="0" w:line="240" w:lineRule="exact"/>
                    <w:ind w:left="0" w:right="0"/>
                    <w:jc w:val="center"/>
                    <w:rPr>
                      <w:rFonts w:ascii="Times New Roman" w:hAnsi="Times New Roman"/>
                      <w:color w:val="000000" w:themeColor="text1"/>
                      <w:szCs w:val="21"/>
                    </w:rPr>
                  </w:pPr>
                  <w:r>
                    <w:rPr>
                      <w:rFonts w:hint="eastAsia" w:ascii="Times New Roman" w:hAnsi="Times New Roman"/>
                      <w:color w:val="000000" w:themeColor="text1"/>
                      <w:szCs w:val="21"/>
                    </w:rPr>
                    <w:t>0.2</w:t>
                  </w:r>
                  <w:r>
                    <w:rPr>
                      <w:rFonts w:ascii="Times New Roman" w:hAnsi="Times New Roman"/>
                      <w:color w:val="000000" w:themeColor="text1"/>
                      <w:szCs w:val="21"/>
                    </w:rPr>
                    <w:t>t/5a</w:t>
                  </w:r>
                </w:p>
              </w:tc>
              <w:tc>
                <w:tcPr>
                  <w:tcW w:w="502" w:type="pct"/>
                  <w:vAlign w:val="center"/>
                </w:tcPr>
                <w:p w14:paraId="7CD0D901">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直流系统电池更换</w:t>
                  </w:r>
                </w:p>
              </w:tc>
              <w:tc>
                <w:tcPr>
                  <w:tcW w:w="319" w:type="pct"/>
                  <w:vAlign w:val="center"/>
                </w:tcPr>
                <w:p w14:paraId="4431E988">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固态</w:t>
                  </w:r>
                </w:p>
              </w:tc>
              <w:tc>
                <w:tcPr>
                  <w:tcW w:w="241" w:type="pct"/>
                  <w:vAlign w:val="center"/>
                </w:tcPr>
                <w:p w14:paraId="0FF018E6">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铅</w:t>
                  </w:r>
                </w:p>
              </w:tc>
              <w:tc>
                <w:tcPr>
                  <w:tcW w:w="318" w:type="pct"/>
                  <w:vAlign w:val="center"/>
                </w:tcPr>
                <w:p w14:paraId="13210035">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铅</w:t>
                  </w:r>
                </w:p>
              </w:tc>
              <w:tc>
                <w:tcPr>
                  <w:tcW w:w="408" w:type="pct"/>
                  <w:vAlign w:val="center"/>
                </w:tcPr>
                <w:p w14:paraId="22FBCD69">
                  <w:pPr>
                    <w:pStyle w:val="10"/>
                    <w:keepNext w:val="0"/>
                    <w:keepLines w:val="0"/>
                    <w:suppressLineNumbers w:val="0"/>
                    <w:spacing w:before="0" w:beforeAutospacing="0" w:after="0" w:afterAutospacing="0" w:line="240" w:lineRule="exact"/>
                    <w:ind w:left="0" w:right="0"/>
                    <w:jc w:val="center"/>
                    <w:rPr>
                      <w:rFonts w:ascii="Times New Roman" w:hAnsi="Times New Roman"/>
                      <w:bCs/>
                      <w:szCs w:val="21"/>
                    </w:rPr>
                  </w:pPr>
                  <w:r>
                    <w:rPr>
                      <w:rFonts w:ascii="Times New Roman" w:hAnsi="Times New Roman"/>
                      <w:bCs/>
                      <w:szCs w:val="21"/>
                    </w:rPr>
                    <w:t>5年/次</w:t>
                  </w:r>
                </w:p>
              </w:tc>
              <w:tc>
                <w:tcPr>
                  <w:tcW w:w="321" w:type="pct"/>
                  <w:vAlign w:val="center"/>
                </w:tcPr>
                <w:p w14:paraId="3D10C5E7">
                  <w:pPr>
                    <w:pStyle w:val="10"/>
                    <w:keepNext w:val="0"/>
                    <w:keepLines w:val="0"/>
                    <w:suppressLineNumbers w:val="0"/>
                    <w:spacing w:before="0" w:beforeAutospacing="0" w:after="0" w:afterAutospacing="0" w:line="240" w:lineRule="exact"/>
                    <w:ind w:left="0" w:right="0"/>
                    <w:jc w:val="center"/>
                    <w:rPr>
                      <w:rFonts w:ascii="Times New Roman" w:hAnsi="Times New Roman"/>
                      <w:szCs w:val="21"/>
                    </w:rPr>
                  </w:pPr>
                  <w:r>
                    <w:rPr>
                      <w:rFonts w:ascii="Times New Roman" w:hAnsi="Times New Roman"/>
                      <w:szCs w:val="21"/>
                    </w:rPr>
                    <w:t>T，C</w:t>
                  </w:r>
                </w:p>
              </w:tc>
              <w:tc>
                <w:tcPr>
                  <w:tcW w:w="736" w:type="pct"/>
                  <w:vAlign w:val="center"/>
                </w:tcPr>
                <w:p w14:paraId="6D9F8EA8">
                  <w:pPr>
                    <w:pStyle w:val="10"/>
                    <w:keepNext w:val="0"/>
                    <w:keepLines w:val="0"/>
                    <w:suppressLineNumbers w:val="0"/>
                    <w:spacing w:before="0" w:beforeAutospacing="0" w:after="0" w:afterAutospacing="0" w:line="240" w:lineRule="exact"/>
                    <w:ind w:left="0" w:right="0"/>
                    <w:jc w:val="center"/>
                    <w:rPr>
                      <w:rFonts w:ascii="Times New Roman" w:hAnsi="Times New Roman"/>
                      <w:szCs w:val="21"/>
                    </w:rPr>
                  </w:pPr>
                  <w:r>
                    <w:rPr>
                      <w:rFonts w:ascii="Times New Roman" w:hAnsi="Times New Roman"/>
                      <w:szCs w:val="21"/>
                    </w:rPr>
                    <w:t>废铅酸蓄电池收集到密封的耐酸、耐腐蚀转运箱，暂存于危废暂存间，最终交给有危险废物处置资质的单位转移处置，未破损的废铅蓄电池在运输环节，运输工具满足防雨、防渗漏、防遗撒要求后，可不按危险废物进行运输</w:t>
                  </w:r>
                </w:p>
              </w:tc>
            </w:tr>
          </w:tbl>
          <w:p w14:paraId="0EC08AA4">
            <w:pPr>
              <w:pStyle w:val="27"/>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textAlignment w:val="baseline"/>
              <w:rPr>
                <w:rFonts w:ascii="Times New Roman" w:hAnsi="Times New Roman"/>
                <w:b/>
                <w:bCs/>
              </w:rPr>
            </w:pPr>
            <w:r>
              <w:rPr>
                <w:rFonts w:hint="eastAsia" w:ascii="Times New Roman" w:hAnsi="Times New Roman"/>
                <w:b/>
                <w:bCs/>
              </w:rPr>
              <w:t>4.5检修废弃物</w:t>
            </w:r>
          </w:p>
          <w:p w14:paraId="17687998">
            <w:pPr>
              <w:pStyle w:val="29"/>
              <w:keepNext w:val="0"/>
              <w:keepLines w:val="0"/>
              <w:suppressLineNumbers w:val="0"/>
              <w:spacing w:before="0" w:beforeAutospacing="0" w:after="0" w:afterAutospacing="0" w:line="360" w:lineRule="auto"/>
              <w:ind w:left="105" w:right="105" w:firstLine="480"/>
              <w:rPr>
                <w:rFonts w:ascii="Times New Roman" w:hAnsi="Times New Roman"/>
                <w:b w:val="0"/>
                <w:bCs w:val="0"/>
                <w:sz w:val="24"/>
                <w:szCs w:val="24"/>
              </w:rPr>
            </w:pPr>
            <w:r>
              <w:rPr>
                <w:rFonts w:ascii="Times New Roman" w:hAnsi="Times New Roman"/>
                <w:b w:val="0"/>
                <w:bCs w:val="0"/>
                <w:sz w:val="24"/>
                <w:szCs w:val="24"/>
                <w:lang w:val="zh-CN"/>
              </w:rPr>
              <w:t>输电</w:t>
            </w:r>
            <w:r>
              <w:rPr>
                <w:rFonts w:ascii="Times New Roman" w:hAnsi="Times New Roman"/>
                <w:b w:val="0"/>
                <w:bCs w:val="0"/>
                <w:sz w:val="24"/>
                <w:szCs w:val="24"/>
              </w:rPr>
              <w:t>线路检修时产生少量检修废弃物，均为一般固废，检修完毕后集中收集随检修人员带回至就近垃圾收集点处理。</w:t>
            </w:r>
          </w:p>
          <w:p w14:paraId="53C7E3A7">
            <w:pPr>
              <w:pStyle w:val="27"/>
              <w:keepNext w:val="0"/>
              <w:keepLines w:val="0"/>
              <w:suppressLineNumbers w:val="0"/>
              <w:spacing w:before="0" w:beforeAutospacing="0" w:after="0" w:afterAutospacing="0" w:line="360" w:lineRule="auto"/>
              <w:ind w:left="0" w:right="0"/>
              <w:rPr>
                <w:rFonts w:ascii="Times New Roman" w:hAnsi="Times New Roman"/>
                <w:b/>
                <w:bCs/>
              </w:rPr>
            </w:pPr>
            <w:r>
              <w:rPr>
                <w:rFonts w:ascii="Times New Roman" w:hAnsi="Times New Roman"/>
                <w:b/>
                <w:bCs/>
              </w:rPr>
              <w:t>5</w:t>
            </w:r>
            <w:r>
              <w:rPr>
                <w:rFonts w:hint="eastAsia" w:ascii="Times New Roman" w:hAnsi="Times New Roman"/>
                <w:b/>
                <w:bCs/>
              </w:rPr>
              <w:t>、</w:t>
            </w:r>
            <w:r>
              <w:rPr>
                <w:rFonts w:ascii="Times New Roman" w:hAnsi="Times New Roman"/>
                <w:b/>
                <w:bCs/>
              </w:rPr>
              <w:t>运营期生态环境影响分析</w:t>
            </w:r>
          </w:p>
          <w:p w14:paraId="057C25A9">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 xml:space="preserve">（1）植被保护措施 </w:t>
            </w:r>
          </w:p>
          <w:p w14:paraId="36B0B819">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 xml:space="preserve">①植被修复原则 </w:t>
            </w:r>
          </w:p>
          <w:p w14:paraId="4DFB0E58">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保护原有生态系统的原则：项目区土地类型为荒漠戈壁，植被覆盖度低。本工程建设不可避免</w:t>
            </w:r>
            <w:r>
              <w:rPr>
                <w:rFonts w:hint="eastAsia"/>
                <w:sz w:val="24"/>
              </w:rPr>
              <w:t>地</w:t>
            </w:r>
            <w:r>
              <w:rPr>
                <w:sz w:val="24"/>
              </w:rPr>
              <w:t xml:space="preserve">会破坏评价区生态系统结构及功能。因此在生态修复过程中，必须尽量保护施工占地区域原有体系的生态环境，尽量发展以当地优势植被为主体的生态系统。保护生物多样性的原则：植被修复措施不仅考虑植被覆盖率，而且需要在利用当地原有物种的情况下，尽量使物种多样化，避免单一。在保证物种多样性的前提下，防止外来入侵物种的扩散。 </w:t>
            </w:r>
          </w:p>
          <w:p w14:paraId="3818247A">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rPr>
              <w:t xml:space="preserve">②植被恢复方案：为减缓工程建设对施工地区植被的影响，施工结束后应严格落实水土保持措施，根据施工区植被情况和地质地貌情况等实行不同的恢复方案，主要方案是施工结束后进行土地整治并播散当地优势物种草籽。 </w:t>
            </w:r>
          </w:p>
          <w:p w14:paraId="5C9813CF">
            <w:pPr>
              <w:keepNext w:val="0"/>
              <w:keepLines w:val="0"/>
              <w:suppressLineNumbers w:val="0"/>
              <w:spacing w:before="0" w:beforeAutospacing="0" w:after="0" w:afterAutospacing="0" w:line="360" w:lineRule="auto"/>
              <w:ind w:left="0" w:right="0" w:firstLine="480" w:firstLineChars="200"/>
              <w:rPr>
                <w:sz w:val="24"/>
                <w:lang w:val="zh-CN"/>
              </w:rPr>
            </w:pPr>
            <w:r>
              <w:rPr>
                <w:sz w:val="24"/>
                <w:lang w:val="zh-CN"/>
              </w:rPr>
              <w:t>（2）土地利用类型影响</w:t>
            </w:r>
          </w:p>
          <w:p w14:paraId="418799E0">
            <w:pPr>
              <w:keepNext w:val="0"/>
              <w:keepLines w:val="0"/>
              <w:suppressLineNumbers w:val="0"/>
              <w:spacing w:before="0" w:beforeAutospacing="0" w:after="0" w:afterAutospacing="0" w:line="360" w:lineRule="auto"/>
              <w:ind w:left="0" w:right="0" w:firstLine="480" w:firstLineChars="200"/>
              <w:rPr>
                <w:szCs w:val="21"/>
                <w:lang w:val="zh-CN"/>
              </w:rPr>
            </w:pPr>
            <w:r>
              <w:rPr>
                <w:sz w:val="24"/>
                <w:lang w:val="zh-CN"/>
              </w:rPr>
              <w:t>本项目土地利用类型主要为未利用地，运营期由原来的未利用地转变为升压站设施用地，</w:t>
            </w:r>
            <w:r>
              <w:rPr>
                <w:sz w:val="24"/>
              </w:rPr>
              <w:t>永久用地</w:t>
            </w:r>
            <w:r>
              <w:rPr>
                <w:sz w:val="24"/>
                <w:lang w:val="zh-CN"/>
              </w:rPr>
              <w:t>将彻底改变土地用途，植被面积及生物量有一定程度减少</w:t>
            </w:r>
            <w:r>
              <w:rPr>
                <w:szCs w:val="21"/>
                <w:lang w:val="zh-CN"/>
              </w:rPr>
              <w:t>。</w:t>
            </w:r>
          </w:p>
          <w:p w14:paraId="1493E951">
            <w:pPr>
              <w:keepNext w:val="0"/>
              <w:keepLines w:val="0"/>
              <w:suppressLineNumbers w:val="0"/>
              <w:adjustRightInd w:val="0"/>
              <w:snapToGrid w:val="0"/>
              <w:spacing w:before="0" w:beforeAutospacing="0" w:after="0" w:afterAutospacing="0" w:line="360" w:lineRule="auto"/>
              <w:ind w:left="0" w:right="0"/>
              <w:rPr>
                <w:b/>
                <w:bCs/>
                <w:sz w:val="24"/>
                <w:lang w:val="zh-CN"/>
              </w:rPr>
            </w:pPr>
            <w:r>
              <w:rPr>
                <w:b/>
                <w:bCs/>
                <w:sz w:val="24"/>
              </w:rPr>
              <w:t>6</w:t>
            </w:r>
            <w:r>
              <w:rPr>
                <w:rFonts w:hint="eastAsia"/>
                <w:b/>
                <w:bCs/>
                <w:sz w:val="24"/>
              </w:rPr>
              <w:t>、</w:t>
            </w:r>
            <w:r>
              <w:rPr>
                <w:b/>
                <w:bCs/>
                <w:sz w:val="24"/>
              </w:rPr>
              <w:t>运营期</w:t>
            </w:r>
            <w:r>
              <w:rPr>
                <w:b/>
                <w:bCs/>
                <w:sz w:val="24"/>
                <w:lang w:val="zh-CN"/>
              </w:rPr>
              <w:t>地下水、土壤环境影响分析</w:t>
            </w:r>
          </w:p>
          <w:p w14:paraId="0C357AC8">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6.1地下水影响分析</w:t>
            </w:r>
          </w:p>
          <w:p w14:paraId="4B4092CC">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根据《环境影响评价技术导则 地下水环境》（HJ610-2016）判定，本项目属于“</w:t>
            </w:r>
            <w:r>
              <w:rPr>
                <w:sz w:val="24"/>
              </w:rPr>
              <w:t>35.送（输）变电工程</w:t>
            </w:r>
            <w:r>
              <w:rPr>
                <w:sz w:val="24"/>
                <w:lang w:val="zh-CN"/>
              </w:rPr>
              <w:t>”，地下水环境影响评价类别为Ⅳ类，Ⅳ类建设项目可不开展地下水环境影响评价。</w:t>
            </w:r>
          </w:p>
          <w:p w14:paraId="386F5D34">
            <w:pPr>
              <w:keepNext w:val="0"/>
              <w:keepLines w:val="0"/>
              <w:suppressLineNumbers w:val="0"/>
              <w:adjustRightInd w:val="0"/>
              <w:snapToGrid w:val="0"/>
              <w:spacing w:before="0" w:beforeAutospacing="0" w:after="0" w:afterAutospacing="0" w:line="360" w:lineRule="auto"/>
              <w:ind w:left="0" w:right="0"/>
              <w:rPr>
                <w:b/>
                <w:sz w:val="24"/>
                <w:lang w:val="zh-CN"/>
              </w:rPr>
            </w:pPr>
            <w:r>
              <w:rPr>
                <w:b/>
                <w:sz w:val="24"/>
                <w:lang w:val="zh-CN"/>
              </w:rPr>
              <w:t>6.2土壤环境影响分析</w:t>
            </w:r>
          </w:p>
          <w:p w14:paraId="488A7043">
            <w:pPr>
              <w:keepNext w:val="0"/>
              <w:keepLines w:val="0"/>
              <w:suppressLineNumbers w:val="0"/>
              <w:adjustRightInd w:val="0"/>
              <w:snapToGrid w:val="0"/>
              <w:spacing w:before="0" w:beforeAutospacing="0" w:after="0" w:afterAutospacing="0" w:line="360" w:lineRule="auto"/>
              <w:ind w:left="0" w:right="0" w:firstLine="480" w:firstLineChars="200"/>
              <w:rPr>
                <w:sz w:val="24"/>
                <w:lang w:val="zh-CN"/>
              </w:rPr>
            </w:pPr>
            <w:r>
              <w:rPr>
                <w:sz w:val="24"/>
                <w:lang w:val="zh-CN"/>
              </w:rPr>
              <w:t>本项目属于光伏发电项目，根据《环境影响评价技术导则 土壤环境（试行）》（HJ964-2018）附录A可知，本项目土壤环境影响评价项目类别为“电力热力燃气及水生产和供应业”中的“其他”，属于Ⅳ类，Ⅳ类项目可不开展土壤环境影响评价。</w:t>
            </w:r>
          </w:p>
          <w:p w14:paraId="27DDC7E8">
            <w:pPr>
              <w:keepNext w:val="0"/>
              <w:keepLines w:val="0"/>
              <w:suppressLineNumbers w:val="0"/>
              <w:adjustRightInd w:val="0"/>
              <w:snapToGrid w:val="0"/>
              <w:spacing w:before="0" w:beforeAutospacing="0" w:after="0" w:afterAutospacing="0" w:line="360" w:lineRule="auto"/>
              <w:ind w:left="0" w:right="0"/>
              <w:rPr>
                <w:b/>
                <w:bCs/>
                <w:sz w:val="24"/>
                <w:lang w:val="zh-CN"/>
              </w:rPr>
            </w:pPr>
            <w:r>
              <w:rPr>
                <w:b/>
                <w:bCs/>
                <w:sz w:val="24"/>
                <w:lang w:val="zh-CN"/>
              </w:rPr>
              <w:t>7</w:t>
            </w:r>
            <w:r>
              <w:rPr>
                <w:rFonts w:hint="eastAsia"/>
                <w:b/>
                <w:bCs/>
                <w:sz w:val="24"/>
                <w:lang w:val="zh-CN"/>
              </w:rPr>
              <w:t>、</w:t>
            </w:r>
            <w:r>
              <w:rPr>
                <w:b/>
                <w:bCs/>
                <w:sz w:val="24"/>
              </w:rPr>
              <w:t>运营期</w:t>
            </w:r>
            <w:r>
              <w:rPr>
                <w:b/>
                <w:bCs/>
                <w:sz w:val="24"/>
                <w:lang w:val="zh-CN"/>
              </w:rPr>
              <w:t>电磁影响分析</w:t>
            </w:r>
          </w:p>
          <w:p w14:paraId="7517D114">
            <w:pPr>
              <w:keepNext w:val="0"/>
              <w:keepLines w:val="0"/>
              <w:suppressLineNumbers w:val="0"/>
              <w:snapToGrid w:val="0"/>
              <w:spacing w:before="0" w:beforeAutospacing="0" w:after="0" w:afterAutospacing="0" w:line="360" w:lineRule="auto"/>
              <w:ind w:left="0" w:right="0" w:firstLine="480" w:firstLineChars="200"/>
              <w:rPr>
                <w:sz w:val="24"/>
              </w:rPr>
            </w:pPr>
            <w:r>
              <w:rPr>
                <w:sz w:val="24"/>
              </w:rPr>
              <w:t>本项目建成运行后对评价范围内的工频电场强度、工频磁感应强度环境影响值能满足《电磁环境控制限值》(GB8702-2014)控制限值要求，项目对周边的电磁环境影响较小。电磁环境影响分析详见“附录 电磁环境影响专题评价”。</w:t>
            </w:r>
          </w:p>
          <w:p w14:paraId="0538231F">
            <w:pPr>
              <w:pStyle w:val="27"/>
              <w:keepNext w:val="0"/>
              <w:keepLines w:val="0"/>
              <w:suppressLineNumbers w:val="0"/>
              <w:spacing w:before="0" w:beforeAutospacing="0" w:after="0" w:afterAutospacing="0" w:line="360" w:lineRule="auto"/>
              <w:ind w:left="0" w:right="0"/>
              <w:rPr>
                <w:rFonts w:ascii="Times New Roman" w:hAnsi="Times New Roman"/>
                <w:b/>
                <w:bCs/>
                <w:color w:val="auto"/>
              </w:rPr>
            </w:pPr>
            <w:r>
              <w:rPr>
                <w:rFonts w:hint="eastAsia" w:ascii="Times New Roman" w:hAnsi="Times New Roman"/>
                <w:b/>
                <w:bCs/>
                <w:color w:val="auto"/>
              </w:rPr>
              <w:t>8、</w:t>
            </w:r>
            <w:r>
              <w:rPr>
                <w:rFonts w:ascii="Times New Roman" w:hAnsi="Times New Roman"/>
                <w:b/>
                <w:bCs/>
                <w:color w:val="auto"/>
              </w:rPr>
              <w:t>运营期环境风险影响分析</w:t>
            </w:r>
          </w:p>
          <w:p w14:paraId="20ABB7D3">
            <w:pPr>
              <w:keepNext w:val="0"/>
              <w:keepLines w:val="0"/>
              <w:suppressLineNumbers w:val="0"/>
              <w:snapToGrid w:val="0"/>
              <w:spacing w:before="0" w:beforeAutospacing="0" w:after="0" w:afterAutospacing="0" w:line="360" w:lineRule="auto"/>
              <w:ind w:left="0" w:right="0" w:firstLine="480" w:firstLineChars="200"/>
              <w:rPr>
                <w:b/>
                <w:sz w:val="24"/>
              </w:rPr>
            </w:pPr>
            <w:r>
              <w:rPr>
                <w:sz w:val="24"/>
              </w:rPr>
              <w:t>本项目属于输变电项目，根据《建设项目环境风险评价技术导则》（HJ169-2018），项目运行期间无环境风险物质。本工程环境风险较小的，环境风险达到可以接受的水平，因而从风险角度分析本项目是可行的。</w:t>
            </w:r>
          </w:p>
          <w:p w14:paraId="21792398">
            <w:pPr>
              <w:pStyle w:val="27"/>
              <w:keepNext w:val="0"/>
              <w:keepLines w:val="0"/>
              <w:suppressLineNumbers w:val="0"/>
              <w:spacing w:before="0" w:beforeAutospacing="0" w:after="0" w:afterAutospacing="0"/>
              <w:ind w:left="0" w:right="0"/>
              <w:rPr>
                <w:rFonts w:ascii="Times New Roman" w:hAnsi="Times New Roman"/>
              </w:rPr>
            </w:pPr>
          </w:p>
        </w:tc>
      </w:tr>
      <w:tr w14:paraId="450B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781" w:type="dxa"/>
            <w:vAlign w:val="center"/>
          </w:tcPr>
          <w:p w14:paraId="02E18B59">
            <w:pPr>
              <w:keepNext w:val="0"/>
              <w:keepLines w:val="0"/>
              <w:suppressLineNumbers w:val="0"/>
              <w:spacing w:before="0" w:beforeAutospacing="0" w:after="0" w:afterAutospacing="0"/>
              <w:ind w:left="0" w:right="0"/>
              <w:rPr>
                <w:bCs/>
                <w:spacing w:val="10"/>
                <w:sz w:val="24"/>
              </w:rPr>
            </w:pPr>
            <w:r>
              <w:rPr>
                <w:bCs/>
                <w:sz w:val="24"/>
              </w:rPr>
              <w:t>选址选线环境合理性分析</w:t>
            </w:r>
          </w:p>
        </w:tc>
        <w:tc>
          <w:tcPr>
            <w:tcW w:w="8323" w:type="dxa"/>
          </w:tcPr>
          <w:p w14:paraId="4086D820">
            <w:pPr>
              <w:keepNext w:val="0"/>
              <w:keepLines w:val="0"/>
              <w:suppressLineNumbers w:val="0"/>
              <w:spacing w:before="0" w:beforeAutospacing="0" w:after="0" w:afterAutospacing="0" w:line="360" w:lineRule="auto"/>
              <w:ind w:left="0" w:right="0"/>
              <w:rPr>
                <w:color w:val="000000" w:themeColor="text1"/>
                <w:sz w:val="24"/>
              </w:rPr>
            </w:pPr>
            <w:r>
              <w:rPr>
                <w:b/>
                <w:bCs/>
                <w:sz w:val="24"/>
              </w:rPr>
              <w:t>1、交通条件</w:t>
            </w:r>
          </w:p>
          <w:p w14:paraId="5CE2DE13">
            <w:pPr>
              <w:keepNext w:val="0"/>
              <w:keepLines w:val="0"/>
              <w:suppressLineNumbers w:val="0"/>
              <w:snapToGrid w:val="0"/>
              <w:spacing w:before="0" w:beforeAutospacing="0" w:after="0" w:afterAutospacing="0" w:line="360" w:lineRule="auto"/>
              <w:ind w:left="0" w:right="0" w:firstLine="480" w:firstLineChars="200"/>
              <w:rPr>
                <w:sz w:val="24"/>
              </w:rPr>
            </w:pPr>
            <w:r>
              <w:rPr>
                <w:color w:val="000000" w:themeColor="text1"/>
                <w:sz w:val="24"/>
              </w:rPr>
              <w:t>本项目位于吐鲁番市托克逊县</w:t>
            </w:r>
            <w:r>
              <w:rPr>
                <w:rFonts w:hint="eastAsia"/>
                <w:color w:val="000000" w:themeColor="text1"/>
                <w:sz w:val="24"/>
              </w:rPr>
              <w:t>库米什镇</w:t>
            </w:r>
            <w:r>
              <w:rPr>
                <w:color w:val="000000" w:themeColor="text1"/>
                <w:sz w:val="24"/>
              </w:rPr>
              <w:t>，</w:t>
            </w:r>
            <w:r>
              <w:rPr>
                <w:sz w:val="24"/>
              </w:rPr>
              <w:t>项目区用地性质为未利用土地（输电线路用地类型为建设用地和未利用土地），场址区东北侧距离托克逊县直线距离约64km，场地地形较为开阔，项目区整体地势北高南低，</w:t>
            </w:r>
            <w:r>
              <w:rPr>
                <w:rFonts w:hint="eastAsia"/>
                <w:sz w:val="24"/>
              </w:rPr>
              <w:t>海拔</w:t>
            </w:r>
            <w:r>
              <w:rPr>
                <w:sz w:val="24"/>
              </w:rPr>
              <w:t>951~1040之间，西南侧紧邻现状道路，北侧为G3012高速公路，设备及其他建筑材料可通过G3012高速公路运至站区，交通运输便利。</w:t>
            </w:r>
          </w:p>
          <w:p w14:paraId="0C733CBF">
            <w:pPr>
              <w:keepNext w:val="0"/>
              <w:keepLines w:val="0"/>
              <w:suppressLineNumbers w:val="0"/>
              <w:spacing w:before="0" w:beforeAutospacing="0" w:after="0" w:afterAutospacing="0" w:line="360" w:lineRule="auto"/>
              <w:ind w:left="0" w:right="0"/>
              <w:rPr>
                <w:b/>
                <w:bCs/>
                <w:sz w:val="24"/>
              </w:rPr>
            </w:pPr>
            <w:r>
              <w:rPr>
                <w:b/>
                <w:bCs/>
                <w:sz w:val="24"/>
              </w:rPr>
              <w:t>2、升压站选址分析</w:t>
            </w:r>
          </w:p>
          <w:p w14:paraId="7F9B2212">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sz w:val="24"/>
              </w:rPr>
              <w:t>根据现场踏勘调查了解，拟建场址地貌单元较单一，拟建工程场地位于托克逊县的冲洪积平原上，拟建场地内不存在采空区、泥石流、滑坡、崩塌、雪崩、地震液化、地面塌陷、地面沉降、地裂缝及地下天然洞穴等不良地质作用，可不考虑其影响。场地土属于中硬土，建筑场地类别为Ⅱ类，场地为对建筑抗震有利地段，适宜工程建设。</w:t>
            </w:r>
          </w:p>
          <w:p w14:paraId="2E0C4730">
            <w:pPr>
              <w:keepNext w:val="0"/>
              <w:keepLines w:val="0"/>
              <w:numPr>
                <w:ilvl w:val="0"/>
                <w:numId w:val="9"/>
              </w:numPr>
              <w:suppressLineNumbers w:val="0"/>
              <w:snapToGrid w:val="0"/>
              <w:spacing w:before="0" w:beforeAutospacing="0" w:after="0" w:afterAutospacing="0" w:line="360" w:lineRule="auto"/>
              <w:ind w:left="0" w:right="0"/>
              <w:rPr>
                <w:b/>
                <w:bCs/>
                <w:sz w:val="24"/>
              </w:rPr>
            </w:pPr>
            <w:r>
              <w:rPr>
                <w:b/>
                <w:bCs/>
                <w:sz w:val="24"/>
              </w:rPr>
              <w:t>输电线路路径选址分析</w:t>
            </w:r>
          </w:p>
          <w:p w14:paraId="7C1D4811">
            <w:pPr>
              <w:keepNext w:val="0"/>
              <w:keepLines w:val="0"/>
              <w:widowControl/>
              <w:suppressLineNumbers w:val="0"/>
              <w:spacing w:before="0" w:beforeAutospacing="0" w:after="0" w:afterAutospacing="0" w:line="360" w:lineRule="auto"/>
              <w:ind w:left="0" w:right="0" w:firstLine="480" w:firstLineChars="200"/>
              <w:jc w:val="left"/>
              <w:rPr>
                <w:color w:val="000000" w:themeColor="text1"/>
                <w:kern w:val="0"/>
                <w:sz w:val="24"/>
              </w:rPr>
            </w:pPr>
            <w:r>
              <w:rPr>
                <w:kern w:val="0"/>
                <w:sz w:val="24"/>
              </w:rPr>
              <w:t>输电线路因线路路径较短，现场地形单一，地物限制较多，本次线路只提出一种方案：新建1座220kV升压站，220kV升压站间隔出线后通过1回220kV线路往西35kV库合光二线后，向北钻越750kV巴吐二线1次、750kV巴吐一线1次后，继续向西跨越35kV库合光二线后接入库米什220kV变</w:t>
            </w:r>
            <w:r>
              <w:rPr>
                <w:rFonts w:hint="eastAsia"/>
                <w:kern w:val="0"/>
                <w:sz w:val="24"/>
              </w:rPr>
              <w:t>电站</w:t>
            </w:r>
            <w:r>
              <w:rPr>
                <w:kern w:val="0"/>
                <w:sz w:val="24"/>
              </w:rPr>
              <w:t>实现并网，线路长约</w:t>
            </w:r>
            <w:r>
              <w:rPr>
                <w:color w:val="000000" w:themeColor="text1"/>
                <w:kern w:val="0"/>
                <w:sz w:val="24"/>
              </w:rPr>
              <w:t>7.</w:t>
            </w:r>
            <w:r>
              <w:rPr>
                <w:rFonts w:hint="eastAsia"/>
                <w:color w:val="000000" w:themeColor="text1"/>
                <w:kern w:val="0"/>
                <w:sz w:val="24"/>
              </w:rPr>
              <w:t>84</w:t>
            </w:r>
            <w:r>
              <w:rPr>
                <w:color w:val="000000" w:themeColor="text1"/>
                <w:kern w:val="0"/>
                <w:sz w:val="24"/>
              </w:rPr>
              <w:t>km。</w:t>
            </w:r>
          </w:p>
          <w:p w14:paraId="4AA7EE84">
            <w:pPr>
              <w:keepNext w:val="0"/>
              <w:keepLines w:val="0"/>
              <w:widowControl/>
              <w:suppressLineNumbers w:val="0"/>
              <w:spacing w:before="0" w:beforeAutospacing="0" w:after="0" w:afterAutospacing="0" w:line="360" w:lineRule="auto"/>
              <w:ind w:left="0" w:right="0" w:firstLine="480" w:firstLineChars="200"/>
              <w:jc w:val="left"/>
              <w:rPr>
                <w:kern w:val="0"/>
                <w:sz w:val="24"/>
              </w:rPr>
            </w:pPr>
            <w:r>
              <w:rPr>
                <w:kern w:val="0"/>
                <w:sz w:val="24"/>
              </w:rPr>
              <w:t>本次评价根据《输变电建设项目环境保护技术要求》(HJ1113-2020)中选址等相关技术要求，对比分析相关符合性，见本报告“一、建设项目基本情况”-“与《输变电建设项目环境保护技术要求》符合性分析”内容。</w:t>
            </w:r>
          </w:p>
          <w:p w14:paraId="157F97C8">
            <w:pPr>
              <w:keepNext w:val="0"/>
              <w:keepLines w:val="0"/>
              <w:widowControl/>
              <w:suppressLineNumbers w:val="0"/>
              <w:spacing w:before="0" w:beforeAutospacing="0" w:after="0" w:afterAutospacing="0" w:line="360" w:lineRule="auto"/>
              <w:ind w:left="0" w:right="0" w:firstLine="480" w:firstLineChars="200"/>
              <w:jc w:val="left"/>
              <w:rPr>
                <w:kern w:val="0"/>
                <w:sz w:val="24"/>
              </w:rPr>
            </w:pPr>
            <w:r>
              <w:rPr>
                <w:kern w:val="0"/>
                <w:sz w:val="24"/>
              </w:rPr>
              <w:t>根据“选址选线”内容分析可知</w:t>
            </w:r>
            <w:r>
              <w:rPr>
                <w:rFonts w:hint="eastAsia"/>
                <w:kern w:val="0"/>
                <w:sz w:val="24"/>
              </w:rPr>
              <w:t>：</w:t>
            </w:r>
            <w:r>
              <w:rPr>
                <w:kern w:val="0"/>
                <w:sz w:val="24"/>
              </w:rPr>
              <w:t>建设项目选址不存在环境制约因素，环境影响程度可接受，因此符合《输变电建设项目环境保护技术要求》(HJ1113-2020)中选址等相关技术要求，故建设项目的选址环境合理。</w:t>
            </w:r>
          </w:p>
          <w:p w14:paraId="485E23EE">
            <w:pPr>
              <w:keepNext w:val="0"/>
              <w:keepLines w:val="0"/>
              <w:widowControl/>
              <w:numPr>
                <w:ilvl w:val="0"/>
                <w:numId w:val="9"/>
              </w:numPr>
              <w:suppressLineNumbers w:val="0"/>
              <w:spacing w:before="0" w:beforeAutospacing="0" w:after="0" w:afterAutospacing="0"/>
              <w:ind w:left="0" w:right="0"/>
              <w:jc w:val="left"/>
              <w:rPr>
                <w:b/>
                <w:bCs/>
                <w:sz w:val="24"/>
              </w:rPr>
            </w:pPr>
            <w:r>
              <w:rPr>
                <w:b/>
                <w:bCs/>
                <w:sz w:val="24"/>
              </w:rPr>
              <w:t>环境敏感目标限制因素</w:t>
            </w:r>
          </w:p>
          <w:p w14:paraId="0B09D53D">
            <w:pPr>
              <w:keepNext w:val="0"/>
              <w:keepLines w:val="0"/>
              <w:widowControl/>
              <w:suppressLineNumbers w:val="0"/>
              <w:spacing w:before="0" w:beforeAutospacing="0" w:after="0" w:afterAutospacing="0" w:line="360" w:lineRule="auto"/>
              <w:ind w:left="0" w:right="0" w:firstLine="480" w:firstLineChars="200"/>
              <w:jc w:val="left"/>
              <w:rPr>
                <w:kern w:val="0"/>
                <w:sz w:val="24"/>
              </w:rPr>
            </w:pPr>
            <w:r>
              <w:rPr>
                <w:kern w:val="0"/>
                <w:sz w:val="24"/>
              </w:rPr>
              <w:t>本项目不位于自然保护区、风景名胜区、饮用水水源保护区等环境敏感区，项目区内无国家及自治区级重要野生保护动植物，无国家及自治区保护的珍稀、濒危物种分布，根据现状调查，本项目500m影响范围内无环境敏感目标分布。</w:t>
            </w:r>
          </w:p>
          <w:p w14:paraId="08341666">
            <w:pPr>
              <w:keepNext w:val="0"/>
              <w:keepLines w:val="0"/>
              <w:widowControl/>
              <w:suppressLineNumbers w:val="0"/>
              <w:spacing w:before="0" w:beforeAutospacing="0" w:after="0" w:afterAutospacing="0" w:line="360" w:lineRule="auto"/>
              <w:ind w:left="0" w:right="0" w:firstLine="480" w:firstLineChars="200"/>
              <w:jc w:val="left"/>
              <w:rPr>
                <w:kern w:val="0"/>
                <w:sz w:val="24"/>
              </w:rPr>
            </w:pPr>
            <w:r>
              <w:rPr>
                <w:kern w:val="0"/>
                <w:sz w:val="24"/>
              </w:rPr>
              <w:t>根据吐鲁番市生态环境局托克逊县分局出具的《关于京能吐鲁番市托克逊县产业园区低碳转型光伏项目建设用地选址查询的请示》</w:t>
            </w:r>
            <w:r>
              <w:rPr>
                <w:rFonts w:hint="eastAsia"/>
                <w:kern w:val="0"/>
                <w:sz w:val="24"/>
              </w:rPr>
              <w:t>的复函</w:t>
            </w:r>
            <w:r>
              <w:rPr>
                <w:kern w:val="0"/>
                <w:sz w:val="24"/>
              </w:rPr>
              <w:t>，本项目选址不在生态保护红线范围，不位于饮用水水源保护区；根据托克逊县自然资源局出具的《关于京能吐鲁番市托克逊县产业园区低碳转型光伏项目</w:t>
            </w:r>
            <w:r>
              <w:rPr>
                <w:rFonts w:hint="eastAsia"/>
                <w:kern w:val="0"/>
                <w:sz w:val="24"/>
              </w:rPr>
              <w:t>建设用地</w:t>
            </w:r>
            <w:r>
              <w:rPr>
                <w:kern w:val="0"/>
                <w:sz w:val="24"/>
              </w:rPr>
              <w:t>压覆重要矿产资源的复函》，本项目用地范围全部在托克逊县行政界线内，京能吐鲁番市托克逊县产业园区低碳转型光伏项目220kV输变电工程用地范围与新疆托克逊县库米什北金钨多金属矿普查部分重叠，新疆托克逊县库米什北金钨多金属矿普查为规划区块，托克逊县自然资源局将在编制下一轮矿产资源规划时，对重叠区域进行调整；根据托克逊县林业和草原局出具的《关于查询京能吐鲁番市托克逊县产业园区低碳转型光伏项目建设用地选址涉林草的复函》，本项目选址不占用林地和草地；根据托克逊县文化体育广播电视和旅游局出具的关于《关于查询京能吐鲁番市托克逊县产业园区低碳转型光伏项目文物的请示》的复函，本项目选址范围内未发现文物存疑痕迹。</w:t>
            </w:r>
          </w:p>
          <w:p w14:paraId="41735356">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1D8FDCD0">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564D41FA">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5F8DDF20">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3AE112B9">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7380C1B9">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5B52E0E4">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7D32CFF2">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6AF6ECD2">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4F50DA97">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247EBD29">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32AA2E26">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07ED838F">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7A6AB3ED">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580C0778">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00AD6690">
            <w:pPr>
              <w:keepNext w:val="0"/>
              <w:keepLines w:val="0"/>
              <w:widowControl/>
              <w:suppressLineNumbers w:val="0"/>
              <w:spacing w:before="0" w:beforeAutospacing="0" w:after="0" w:afterAutospacing="0" w:line="360" w:lineRule="auto"/>
              <w:ind w:left="0" w:right="0" w:firstLine="480" w:firstLineChars="200"/>
              <w:jc w:val="left"/>
              <w:rPr>
                <w:kern w:val="0"/>
                <w:sz w:val="24"/>
              </w:rPr>
            </w:pPr>
          </w:p>
          <w:p w14:paraId="52F7A266">
            <w:pPr>
              <w:keepNext w:val="0"/>
              <w:keepLines w:val="0"/>
              <w:widowControl/>
              <w:suppressLineNumbers w:val="0"/>
              <w:spacing w:before="0" w:beforeAutospacing="0" w:after="0" w:afterAutospacing="0" w:line="360" w:lineRule="auto"/>
              <w:ind w:left="0" w:right="0"/>
              <w:jc w:val="left"/>
              <w:rPr>
                <w:kern w:val="0"/>
                <w:sz w:val="24"/>
              </w:rPr>
            </w:pPr>
          </w:p>
        </w:tc>
      </w:tr>
    </w:tbl>
    <w:p w14:paraId="0ACCBBE4">
      <w:pPr>
        <w:widowControl/>
        <w:jc w:val="left"/>
        <w:rPr>
          <w:rFonts w:ascii="黑体" w:hAnsi="宋体" w:eastAsia="黑体" w:cs="黑体"/>
          <w:color w:val="000000"/>
          <w:kern w:val="0"/>
          <w:sz w:val="30"/>
          <w:szCs w:val="30"/>
        </w:rPr>
      </w:pPr>
      <w:bookmarkStart w:id="8" w:name="_Toc85570427"/>
      <w:r>
        <w:rPr>
          <w:rFonts w:ascii="黑体" w:hAnsi="宋体" w:eastAsia="黑体" w:cs="黑体"/>
          <w:color w:val="000000"/>
          <w:kern w:val="0"/>
          <w:sz w:val="30"/>
          <w:szCs w:val="30"/>
        </w:rPr>
        <w:br w:type="page"/>
      </w:r>
    </w:p>
    <w:p w14:paraId="5F43756A">
      <w:pPr>
        <w:widowControl/>
        <w:jc w:val="center"/>
        <w:rPr>
          <w:rFonts w:ascii="黑体" w:hAnsi="宋体" w:eastAsia="黑体" w:cs="黑体"/>
          <w:color w:val="000000"/>
          <w:kern w:val="0"/>
          <w:sz w:val="30"/>
          <w:szCs w:val="30"/>
        </w:rPr>
      </w:pPr>
      <w:r>
        <w:rPr>
          <w:rFonts w:ascii="黑体" w:hAnsi="宋体" w:eastAsia="黑体" w:cs="黑体"/>
          <w:color w:val="000000"/>
          <w:kern w:val="0"/>
          <w:sz w:val="30"/>
          <w:szCs w:val="30"/>
        </w:rPr>
        <w:t>五、主要生态环境保护措施</w:t>
      </w:r>
      <w:bookmarkEnd w:id="8"/>
    </w:p>
    <w:tbl>
      <w:tblPr>
        <w:tblStyle w:val="21"/>
        <w:tblW w:w="95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701"/>
      </w:tblGrid>
      <w:tr w14:paraId="72F9F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26" w:type="dxa"/>
            <w:tcMar>
              <w:left w:w="28" w:type="dxa"/>
              <w:right w:w="28" w:type="dxa"/>
            </w:tcMar>
            <w:vAlign w:val="center"/>
          </w:tcPr>
          <w:p w14:paraId="34A4C0FE">
            <w:pPr>
              <w:keepNext w:val="0"/>
              <w:keepLines w:val="0"/>
              <w:suppressLineNumbers w:val="0"/>
              <w:adjustRightInd w:val="0"/>
              <w:snapToGrid w:val="0"/>
              <w:spacing w:before="0" w:beforeAutospacing="0" w:after="0" w:afterAutospacing="0"/>
              <w:ind w:left="0" w:right="0"/>
              <w:jc w:val="center"/>
              <w:rPr>
                <w:rFonts w:hAnsi="宋体"/>
                <w:bCs/>
                <w:color w:val="FF0000"/>
                <w:szCs w:val="21"/>
              </w:rPr>
            </w:pPr>
            <w:r>
              <w:rPr>
                <w:rFonts w:hAnsi="宋体"/>
                <w:bCs/>
                <w:spacing w:val="10"/>
                <w:sz w:val="24"/>
              </w:rPr>
              <w:t>施工期生态环境保护措施</w:t>
            </w:r>
          </w:p>
        </w:tc>
        <w:tc>
          <w:tcPr>
            <w:tcW w:w="8439" w:type="dxa"/>
            <w:vAlign w:val="center"/>
          </w:tcPr>
          <w:p w14:paraId="69730C64">
            <w:pPr>
              <w:keepNext w:val="0"/>
              <w:keepLines w:val="0"/>
              <w:suppressLineNumbers w:val="0"/>
              <w:adjustRightInd w:val="0"/>
              <w:snapToGrid w:val="0"/>
              <w:spacing w:before="0" w:beforeAutospacing="0" w:after="0" w:afterAutospacing="0" w:line="360" w:lineRule="auto"/>
              <w:ind w:left="0" w:right="0"/>
              <w:jc w:val="left"/>
              <w:rPr>
                <w:rFonts w:hAnsi="宋体"/>
                <w:b/>
                <w:sz w:val="24"/>
              </w:rPr>
            </w:pPr>
            <w:r>
              <w:rPr>
                <w:rFonts w:hint="eastAsia" w:hAnsi="宋体"/>
                <w:b/>
                <w:sz w:val="24"/>
              </w:rPr>
              <w:t>1、</w:t>
            </w:r>
            <w:r>
              <w:rPr>
                <w:rFonts w:hAnsi="宋体"/>
                <w:b/>
                <w:bCs/>
                <w:sz w:val="24"/>
                <w:lang w:bidi="en-US"/>
              </w:rPr>
              <w:t>施工期</w:t>
            </w:r>
            <w:r>
              <w:rPr>
                <w:rFonts w:hAnsi="宋体"/>
                <w:b/>
                <w:sz w:val="24"/>
              </w:rPr>
              <w:t>大气污染防治措施</w:t>
            </w:r>
          </w:p>
          <w:p w14:paraId="7EAAE45A">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Ansi="宋体"/>
                <w:sz w:val="24"/>
              </w:rPr>
              <w:t>（1）扬尘</w:t>
            </w:r>
          </w:p>
          <w:p w14:paraId="385E3E78">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对易起尘的临时堆土、运输过程中的土石方等采取密闭式防尘布（网）进行苫盖，施工面集中且有条件的地方宜采取洒水降水等有效措施，减少易造成大气污染的施工作业。遇到干燥、易起尘的土方工程作业时，应辅以洒水压尘，尽量缩短起尘操作时间。遇到四级或四级以上大风天气，应停止土方作业，同时作业处覆以防尘网。</w:t>
            </w:r>
          </w:p>
          <w:p w14:paraId="6CAFBE75">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 xml:space="preserve">②加强施工现场运输车辆管理。驶入建筑工地的运输车辆必须车身整洁，装载车厢完好，装载货物堆码整齐，不得污染道路；驶出建筑工地的运输车辆必须冲洗干净，严禁带泥上路，严禁超载，渣土及易抛洒材料实行封闭车辆运输，并应持证。防止建筑材料、垃圾和尘土飞扬、洒落和流溢。 </w:t>
            </w:r>
          </w:p>
          <w:p w14:paraId="1AC11B1F">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 xml:space="preserve">③采用商品混凝土，现场不设混凝土搅拌站，严禁现场搅拌混凝土、砂浆。 </w:t>
            </w:r>
          </w:p>
          <w:p w14:paraId="583D87A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 xml:space="preserve">④施工现场的机械设备、车辆的尾气排放应符合国家环保排放标准。 </w:t>
            </w:r>
          </w:p>
          <w:p w14:paraId="7290A05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⑤当环境空气质量指数达到中度及以上的污染时，应禁止进行土方等易产生扬尘污染的施工作业，施工现场应增加洒水频次，加强覆盖措施，减少易造成大气污染的施工作业。</w:t>
            </w:r>
          </w:p>
          <w:p w14:paraId="08A3E2B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Ansi="宋体"/>
                <w:sz w:val="24"/>
              </w:rPr>
              <w:t>（</w:t>
            </w:r>
            <w:r>
              <w:rPr>
                <w:rFonts w:hint="eastAsia" w:hAnsi="宋体"/>
                <w:sz w:val="24"/>
              </w:rPr>
              <w:t>2</w:t>
            </w:r>
            <w:r>
              <w:rPr>
                <w:rFonts w:hAnsi="宋体"/>
                <w:sz w:val="24"/>
              </w:rPr>
              <w:t>）</w:t>
            </w:r>
            <w:r>
              <w:rPr>
                <w:rFonts w:hint="eastAsia" w:hAnsi="宋体"/>
                <w:sz w:val="24"/>
              </w:rPr>
              <w:t>汽车尾气</w:t>
            </w:r>
          </w:p>
          <w:p w14:paraId="50CD2120">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Ansi="宋体"/>
                <w:sz w:val="24"/>
              </w:rPr>
              <w:t>拟采取如下控制措施减少</w:t>
            </w:r>
            <w:r>
              <w:rPr>
                <w:rFonts w:hint="eastAsia" w:hAnsi="宋体"/>
                <w:sz w:val="24"/>
              </w:rPr>
              <w:t>施工期汽车尾气</w:t>
            </w:r>
            <w:r>
              <w:rPr>
                <w:rFonts w:hAnsi="宋体"/>
                <w:sz w:val="24"/>
              </w:rPr>
              <w:t>的影响：</w:t>
            </w:r>
          </w:p>
          <w:p w14:paraId="1F3083A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施工单位应选用符合国家卫生防护标准的施工机械和运输工具，确保其废气排放符合《非道路移动机械用柴油机排气污染物排放限值及测量方法》（GB20891-2014）标准限值，</w:t>
            </w:r>
            <w:r>
              <w:rPr>
                <w:rFonts w:hAnsi="宋体"/>
                <w:sz w:val="24"/>
              </w:rPr>
              <w:t>加强对施工机械及施工车辆的检修和维护，严禁使用超期服役和尾气超标的施工机械及车辆。</w:t>
            </w:r>
          </w:p>
          <w:p w14:paraId="19CD0251">
            <w:pPr>
              <w:keepNext w:val="0"/>
              <w:keepLines w:val="0"/>
              <w:suppressLineNumbers w:val="0"/>
              <w:snapToGrid w:val="0"/>
              <w:spacing w:before="0" w:beforeAutospacing="0" w:after="0" w:afterAutospacing="0" w:line="360" w:lineRule="auto"/>
              <w:ind w:left="0" w:right="0"/>
              <w:rPr>
                <w:rFonts w:hAnsi="宋体"/>
                <w:b/>
                <w:bCs/>
                <w:sz w:val="24"/>
                <w:lang w:bidi="en-US"/>
              </w:rPr>
            </w:pPr>
            <w:r>
              <w:rPr>
                <w:rFonts w:hAnsi="宋体"/>
                <w:b/>
                <w:bCs/>
                <w:sz w:val="24"/>
                <w:lang w:bidi="en-US"/>
              </w:rPr>
              <w:t>2</w:t>
            </w:r>
            <w:r>
              <w:rPr>
                <w:rFonts w:hint="eastAsia" w:hAnsi="宋体"/>
                <w:b/>
                <w:bCs/>
                <w:sz w:val="24"/>
                <w:lang w:bidi="en-US"/>
              </w:rPr>
              <w:t>、</w:t>
            </w:r>
            <w:r>
              <w:rPr>
                <w:rFonts w:hAnsi="宋体"/>
                <w:b/>
                <w:bCs/>
                <w:sz w:val="24"/>
                <w:lang w:bidi="en-US"/>
              </w:rPr>
              <w:t>施工期水环境防治措施</w:t>
            </w:r>
          </w:p>
          <w:p w14:paraId="0205A729">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Ansi="宋体"/>
                <w:sz w:val="24"/>
                <w:lang w:bidi="en-US"/>
              </w:rPr>
              <w:t>（1）</w:t>
            </w:r>
            <w:r>
              <w:rPr>
                <w:rFonts w:hint="eastAsia" w:hAnsi="宋体"/>
                <w:sz w:val="24"/>
                <w:lang w:bidi="en-US"/>
              </w:rPr>
              <w:t>工程</w:t>
            </w:r>
            <w:r>
              <w:rPr>
                <w:rFonts w:hAnsi="宋体"/>
                <w:sz w:val="24"/>
                <w:lang w:bidi="en-US"/>
              </w:rPr>
              <w:t>废水</w:t>
            </w:r>
          </w:p>
          <w:p w14:paraId="32D787D2">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本项目施工使用的是商品混凝土，至于混凝土的保养浇水、砌砖的加湿淋水，废水量不大，且主要集中在施工基础施工混凝土浇筑时段，产生时间也是不连续的。废水多为无机废水，除悬浮物含量较高外，一般不含有毒有害物质，一般产生不了径流，本环评要求施工单位在</w:t>
            </w:r>
            <w:r>
              <w:rPr>
                <w:rFonts w:hAnsi="宋体"/>
                <w:sz w:val="24"/>
              </w:rPr>
              <w:t>场地设</w:t>
            </w:r>
            <w:r>
              <w:rPr>
                <w:rFonts w:hint="eastAsia" w:hAnsi="宋体"/>
                <w:sz w:val="24"/>
              </w:rPr>
              <w:t>沉淀</w:t>
            </w:r>
            <w:r>
              <w:rPr>
                <w:rFonts w:hAnsi="宋体"/>
                <w:sz w:val="24"/>
              </w:rPr>
              <w:t>池，将场地</w:t>
            </w:r>
            <w:r>
              <w:rPr>
                <w:rFonts w:hint="eastAsia" w:hAnsi="宋体"/>
                <w:sz w:val="24"/>
              </w:rPr>
              <w:t>工程</w:t>
            </w:r>
            <w:r>
              <w:rPr>
                <w:rFonts w:hAnsi="宋体"/>
                <w:sz w:val="24"/>
              </w:rPr>
              <w:t>废水收集</w:t>
            </w:r>
            <w:r>
              <w:rPr>
                <w:rFonts w:hint="eastAsia" w:hAnsi="宋体"/>
                <w:sz w:val="24"/>
              </w:rPr>
              <w:t>至</w:t>
            </w:r>
            <w:r>
              <w:rPr>
                <w:rFonts w:hAnsi="宋体"/>
                <w:sz w:val="24"/>
              </w:rPr>
              <w:t>沉淀</w:t>
            </w:r>
            <w:r>
              <w:rPr>
                <w:rFonts w:hint="eastAsia" w:hAnsi="宋体"/>
                <w:sz w:val="24"/>
              </w:rPr>
              <w:t>池</w:t>
            </w:r>
            <w:r>
              <w:rPr>
                <w:rFonts w:hAnsi="宋体"/>
                <w:sz w:val="24"/>
              </w:rPr>
              <w:t>处理后用于泼洒地面降尘</w:t>
            </w:r>
            <w:r>
              <w:rPr>
                <w:rFonts w:hint="eastAsia" w:hAnsi="宋体"/>
                <w:sz w:val="24"/>
              </w:rPr>
              <w:t>。</w:t>
            </w:r>
          </w:p>
          <w:p w14:paraId="3D780C4F">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Ansi="宋体"/>
                <w:sz w:val="24"/>
                <w:lang w:bidi="en-US"/>
              </w:rPr>
              <w:t>（2）生活污水</w:t>
            </w:r>
          </w:p>
          <w:p w14:paraId="0E92456F">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rPr>
            </w:pPr>
            <w:r>
              <w:rPr>
                <w:rFonts w:hAnsi="宋体"/>
                <w:sz w:val="24"/>
              </w:rPr>
              <w:t>本项目施工人员</w:t>
            </w:r>
            <w:r>
              <w:rPr>
                <w:rFonts w:hint="eastAsia" w:hAnsi="宋体"/>
                <w:sz w:val="24"/>
              </w:rPr>
              <w:t>产生的</w:t>
            </w:r>
            <w:r>
              <w:rPr>
                <w:rFonts w:hAnsi="宋体"/>
                <w:sz w:val="24"/>
              </w:rPr>
              <w:t>生活污水污染物成分简单，主要污染物</w:t>
            </w:r>
            <w:r>
              <w:rPr>
                <w:rFonts w:hint="eastAsia" w:hAnsi="宋体"/>
                <w:sz w:val="24"/>
              </w:rPr>
              <w:t>有</w:t>
            </w:r>
            <w:r>
              <w:rPr>
                <w:rFonts w:hAnsi="宋体"/>
                <w:sz w:val="24"/>
              </w:rPr>
              <w:t>COD</w:t>
            </w:r>
            <w:r>
              <w:rPr>
                <w:rFonts w:hAnsi="宋体"/>
                <w:sz w:val="24"/>
                <w:vertAlign w:val="subscript"/>
              </w:rPr>
              <w:t>Cr</w:t>
            </w:r>
            <w:r>
              <w:rPr>
                <w:rFonts w:hAnsi="宋体"/>
                <w:sz w:val="24"/>
              </w:rPr>
              <w:t>、BOD</w:t>
            </w:r>
            <w:r>
              <w:rPr>
                <w:rFonts w:hAnsi="宋体"/>
                <w:sz w:val="24"/>
                <w:vertAlign w:val="subscript"/>
              </w:rPr>
              <w:t>5</w:t>
            </w:r>
            <w:r>
              <w:rPr>
                <w:rFonts w:hint="eastAsia" w:hAnsi="宋体"/>
                <w:sz w:val="24"/>
              </w:rPr>
              <w:t>、</w:t>
            </w:r>
            <w:r>
              <w:rPr>
                <w:rFonts w:hAnsi="宋体"/>
                <w:sz w:val="24"/>
              </w:rPr>
              <w:t>SS、NH</w:t>
            </w:r>
            <w:r>
              <w:rPr>
                <w:rFonts w:hAnsi="宋体"/>
                <w:sz w:val="24"/>
                <w:vertAlign w:val="subscript"/>
              </w:rPr>
              <w:t>3</w:t>
            </w:r>
            <w:r>
              <w:rPr>
                <w:rFonts w:hAnsi="宋体"/>
                <w:sz w:val="24"/>
              </w:rPr>
              <w:t>-N等。施工期设置移动环保厕所，</w:t>
            </w:r>
            <w:r>
              <w:rPr>
                <w:rFonts w:hint="eastAsia" w:hAnsi="宋体"/>
                <w:sz w:val="24"/>
              </w:rPr>
              <w:t>施工期定期清</w:t>
            </w:r>
            <w:r>
              <w:rPr>
                <w:rFonts w:hAnsi="宋体"/>
                <w:sz w:val="24"/>
              </w:rPr>
              <w:t>掏</w:t>
            </w:r>
            <w:r>
              <w:rPr>
                <w:rFonts w:hint="eastAsia" w:hAnsi="宋体"/>
                <w:sz w:val="24"/>
              </w:rPr>
              <w:t>，并拉运至托克逊县生活污水处理厂处理</w:t>
            </w:r>
            <w:r>
              <w:rPr>
                <w:rFonts w:hAnsi="宋体"/>
                <w:sz w:val="24"/>
              </w:rPr>
              <w:t>。</w:t>
            </w:r>
          </w:p>
          <w:p w14:paraId="4E41F9E2">
            <w:pPr>
              <w:keepNext w:val="0"/>
              <w:keepLines w:val="0"/>
              <w:suppressLineNumbers w:val="0"/>
              <w:snapToGrid w:val="0"/>
              <w:spacing w:before="0" w:beforeAutospacing="0" w:after="0" w:afterAutospacing="0" w:line="360" w:lineRule="auto"/>
              <w:ind w:left="0" w:right="0"/>
              <w:rPr>
                <w:rFonts w:hAnsi="宋体"/>
                <w:sz w:val="24"/>
                <w:lang w:bidi="en-US"/>
              </w:rPr>
            </w:pPr>
            <w:r>
              <w:rPr>
                <w:rFonts w:hAnsi="宋体"/>
                <w:b/>
                <w:bCs/>
                <w:sz w:val="24"/>
                <w:lang w:bidi="en-US"/>
              </w:rPr>
              <w:t>3</w:t>
            </w:r>
            <w:r>
              <w:rPr>
                <w:rFonts w:hint="eastAsia" w:hAnsi="宋体"/>
                <w:b/>
                <w:bCs/>
                <w:sz w:val="24"/>
                <w:lang w:bidi="en-US"/>
              </w:rPr>
              <w:t>、</w:t>
            </w:r>
            <w:r>
              <w:rPr>
                <w:rFonts w:hAnsi="宋体"/>
                <w:b/>
                <w:bCs/>
                <w:sz w:val="24"/>
                <w:lang w:bidi="en-US"/>
              </w:rPr>
              <w:t>施工期声环境防治措施</w:t>
            </w:r>
          </w:p>
          <w:p w14:paraId="76A2782D">
            <w:pPr>
              <w:keepNext w:val="0"/>
              <w:keepLines w:val="0"/>
              <w:suppressLineNumbers w:val="0"/>
              <w:snapToGrid w:val="0"/>
              <w:spacing w:before="0" w:beforeAutospacing="0" w:after="0" w:afterAutospacing="0" w:line="360" w:lineRule="auto"/>
              <w:ind w:left="0" w:right="0" w:firstLine="480" w:firstLineChars="200"/>
              <w:rPr>
                <w:rFonts w:hAnsi="宋体"/>
                <w:szCs w:val="21"/>
                <w:lang w:bidi="en-US"/>
              </w:rPr>
            </w:pPr>
            <w:r>
              <w:rPr>
                <w:rFonts w:hint="eastAsia" w:hAnsi="宋体"/>
                <w:sz w:val="24"/>
              </w:rPr>
              <w:t>本项目施工期噪声源主要包括施工机械产生的噪声和交通噪声，施工期的噪声具有阶段性、临时性和不固定性等特点。本项目周围没有学校、医院、居民等环境敏感点，因此，施工噪声主要对现场施工人员产生影响。本项目采取的噪声污染防治措施如下所示：</w:t>
            </w:r>
          </w:p>
          <w:p w14:paraId="418E8A8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①合理安排施工时间，尽可能避免大量高噪声设备同时施工，且高噪设备施工时间尽量安排在昼间，减少夜间施工量。</w:t>
            </w:r>
          </w:p>
          <w:p w14:paraId="017385D3">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②合理布局施工场地，避免在同一地点安排大量动力机械设备，以避免局部声级过高。</w:t>
            </w:r>
          </w:p>
          <w:p w14:paraId="497B3EB4">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③施工机械产生的噪声往往具有突发、无规则、不连续和高强度等特点，施工单位应采取合理安排施工机械操作时间的方法加以缓解，并减少同时作业的高噪施工机械数量，尽可能减轻声源叠加影响。</w:t>
            </w:r>
          </w:p>
          <w:p w14:paraId="09DB9CE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④降低人为噪声，按照规定操作机械设备，在挡板、支架拆卸过程中，应遵守作业规定，减少碰撞噪声。</w:t>
            </w:r>
          </w:p>
          <w:p w14:paraId="51A71462">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综上所述，施工单位在全面落实上述降噪措施后，施工场界噪声</w:t>
            </w:r>
            <w:r>
              <w:rPr>
                <w:rFonts w:hAnsi="宋体"/>
                <w:sz w:val="24"/>
                <w:lang w:bidi="en-US"/>
              </w:rPr>
              <w:t>可满足</w:t>
            </w:r>
            <w:r>
              <w:rPr>
                <w:rFonts w:hint="eastAsia" w:hAnsi="宋体"/>
                <w:sz w:val="24"/>
                <w:lang w:bidi="en-US"/>
              </w:rPr>
              <w:t>《建筑施工场界环境噪声排放标准》（GB12523-2011）中的规定，且施工期对声环境的影响是短期的、暂时的，一旦施工活动结束，施工噪声影响也就随之结束，故施工期噪声对周围环境的影响是可以接受的。</w:t>
            </w:r>
          </w:p>
          <w:p w14:paraId="22752365">
            <w:pPr>
              <w:keepNext w:val="0"/>
              <w:keepLines w:val="0"/>
              <w:suppressLineNumbers w:val="0"/>
              <w:snapToGrid w:val="0"/>
              <w:spacing w:before="0" w:beforeAutospacing="0" w:after="0" w:afterAutospacing="0" w:line="360" w:lineRule="auto"/>
              <w:ind w:left="0" w:right="0"/>
              <w:rPr>
                <w:rFonts w:hAnsi="宋体"/>
                <w:sz w:val="24"/>
                <w:lang w:bidi="en-US"/>
              </w:rPr>
            </w:pPr>
            <w:r>
              <w:rPr>
                <w:rFonts w:hAnsi="宋体"/>
                <w:b/>
                <w:bCs/>
                <w:sz w:val="24"/>
                <w:lang w:bidi="en-US"/>
              </w:rPr>
              <w:t>4</w:t>
            </w:r>
            <w:r>
              <w:rPr>
                <w:rFonts w:hint="eastAsia" w:hAnsi="宋体"/>
                <w:b/>
                <w:bCs/>
                <w:sz w:val="24"/>
                <w:lang w:bidi="en-US"/>
              </w:rPr>
              <w:t>、</w:t>
            </w:r>
            <w:r>
              <w:rPr>
                <w:rFonts w:hAnsi="宋体"/>
                <w:b/>
                <w:bCs/>
                <w:sz w:val="24"/>
                <w:lang w:bidi="en-US"/>
              </w:rPr>
              <w:t>施工期固体废物防治措施</w:t>
            </w:r>
          </w:p>
          <w:p w14:paraId="1F5A0166">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（1）生活垃圾</w:t>
            </w:r>
          </w:p>
          <w:p w14:paraId="4550C94E">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生活垃圾集中收集至带盖垃圾箱内，定期清运至库米什镇就近的生活垃圾收集点，最终由库米什镇环卫部门统一清运处置。</w:t>
            </w:r>
          </w:p>
          <w:p w14:paraId="394ADFF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（2）建筑垃圾</w:t>
            </w:r>
          </w:p>
          <w:p w14:paraId="6059DEDA">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施工单位应加强管理，禁止在施工过程中随意丢弃、抛洒建筑垃圾，要做到堆放有序，及时清运至市政部门指定的堆放点妥善堆存。</w:t>
            </w:r>
          </w:p>
          <w:p w14:paraId="3A47AAE4">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（3）弃土石方</w:t>
            </w:r>
          </w:p>
          <w:p w14:paraId="72C5BA03">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根据可研设计资料，本项目开挖土石方22524m³，共回填土石方22524m³，无弃土石方。</w:t>
            </w:r>
          </w:p>
          <w:p w14:paraId="313213B6">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本项目不设置永久弃土场、弃渣场。根据施工方案及进度，本项目施工期设置2个临时堆土场，临时堆土场主要用于将施工土石方进行临时集中堆存后综合利用。临时堆土堆放过程中必须采取防尘抑尘措施，如采用水喷淋防尘，或用篷布遮盖临时堆土。施工期工程结束后，施工单位应及时组织人力和物力，应尽可能在最短时间内将临时堆土场进行平整，通过表面覆土并压紧、夯实、砾石压盖等措施尽量恢复原地貌、防止水土流失。</w:t>
            </w:r>
          </w:p>
          <w:p w14:paraId="7ACE06A2">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采取以上措施后，可有效防止施工期固体废物对周边环境造成污染。</w:t>
            </w:r>
          </w:p>
          <w:p w14:paraId="1360D5F5">
            <w:pPr>
              <w:keepNext w:val="0"/>
              <w:keepLines w:val="0"/>
              <w:suppressLineNumbers w:val="0"/>
              <w:spacing w:before="0" w:beforeAutospacing="0" w:after="0" w:afterAutospacing="0" w:line="360" w:lineRule="auto"/>
              <w:ind w:left="0" w:right="0"/>
              <w:rPr>
                <w:rFonts w:hAnsi="宋体"/>
                <w:b/>
                <w:sz w:val="24"/>
              </w:rPr>
            </w:pPr>
            <w:r>
              <w:rPr>
                <w:rFonts w:hAnsi="宋体"/>
                <w:b/>
                <w:sz w:val="24"/>
              </w:rPr>
              <w:t>5</w:t>
            </w:r>
            <w:r>
              <w:rPr>
                <w:rFonts w:hint="eastAsia" w:hAnsi="宋体"/>
                <w:b/>
                <w:sz w:val="24"/>
              </w:rPr>
              <w:t>、</w:t>
            </w:r>
            <w:r>
              <w:rPr>
                <w:rFonts w:hint="eastAsia" w:hAnsi="宋体"/>
                <w:b/>
                <w:sz w:val="24"/>
                <w:lang w:bidi="en-US"/>
              </w:rPr>
              <w:t>生态保护措施</w:t>
            </w:r>
          </w:p>
          <w:p w14:paraId="0C19B017">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（1）施工期生态保护措施</w:t>
            </w:r>
          </w:p>
          <w:p w14:paraId="4697777A">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Ansi="宋体"/>
                <w:sz w:val="24"/>
                <w:lang w:bidi="en-US"/>
              </w:rPr>
              <w:t>①施工期间，应划定施工区域，强化施工管理，增强施工人员的环境保护意识，在保证施工顺利进行的前提下，严格控制施工人员、施工机械、生活区的范围，严禁随意扩大扰动范围；尽可能缩小施工作业面和减少扰动面积，以最大限度地降低工程开挖造成的水土流失。</w:t>
            </w:r>
          </w:p>
          <w:p w14:paraId="6A15CC16">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Ansi="宋体"/>
                <w:sz w:val="24"/>
                <w:lang w:bidi="en-US"/>
              </w:rPr>
              <w:t>②尽量减少大型机械施工，基坑开挖后，尽快浇筑混凝土，并及时回填，其表层进行碾压，缩短裸露时间，减少扬尘</w:t>
            </w:r>
            <w:r>
              <w:rPr>
                <w:rFonts w:hint="eastAsia" w:hAnsi="宋体"/>
                <w:sz w:val="24"/>
                <w:lang w:bidi="en-US"/>
              </w:rPr>
              <w:t>产生</w:t>
            </w:r>
            <w:r>
              <w:rPr>
                <w:rFonts w:hAnsi="宋体"/>
                <w:sz w:val="24"/>
                <w:lang w:bidi="en-US"/>
              </w:rPr>
              <w:t>。</w:t>
            </w:r>
          </w:p>
          <w:p w14:paraId="4E5EA370">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③施工单位要按照设计严格控制</w:t>
            </w:r>
            <w:r>
              <w:rPr>
                <w:rFonts w:hint="eastAsia" w:hAnsi="宋体"/>
                <w:bCs/>
                <w:sz w:val="24"/>
              </w:rPr>
              <w:t>临时用地</w:t>
            </w:r>
            <w:r>
              <w:rPr>
                <w:rFonts w:hint="eastAsia" w:hAnsi="宋体"/>
                <w:sz w:val="24"/>
                <w:lang w:bidi="en-US"/>
              </w:rPr>
              <w:t>面积，不得随意扩大施工道路的宽度和长度或单另开道，施工道路两侧布设彩旗，限定运输车辆的行驶范围，应在施工前建设施工道路，避免运输车辆对地表砾幕层及原生植被的碾压扰动，防止水土流失。</w:t>
            </w:r>
          </w:p>
          <w:p w14:paraId="098C2520">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④项目施工前应对工程占用区域可利用的表土进行剥离，单独堆存，加强表土堆存防护及管理，确保有效回用。做到“分层开挖、分层堆放、分层回填”,临时开挖土石方应该实行分层堆放与分层回填，地表</w:t>
            </w:r>
            <w:r>
              <w:rPr>
                <w:sz w:val="24"/>
                <w:lang w:bidi="en-US"/>
              </w:rPr>
              <w:t>30cm</w:t>
            </w:r>
            <w:r>
              <w:rPr>
                <w:rFonts w:hint="eastAsia" w:hAnsi="宋体"/>
                <w:sz w:val="24"/>
                <w:lang w:bidi="en-US"/>
              </w:rPr>
              <w:t>厚的表土层堆放在下层，其他土方需采用篷布遮盖，同时采取洒水降尘措施。施工过程中，采取绿色施工工艺，减少地表开挖，可能缩小施工作业面和减少扰动面积，以最大限度地降低工程开挖造成的水土流失。合理设计高陡边坡支挡、加固措施，减少对脆弱生态的扰动。</w:t>
            </w:r>
          </w:p>
          <w:p w14:paraId="4262FD64">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⑤临时占地区选址应尽量选择没有植被覆盖的裸地，尽量减小本工程对占用区植被的影响。施工前对临时占地进行表土剥离，所剥离表土临时堆存于临时施工场地一角，用于施工结束后绿化覆土。施工过程中对施工生产生活区临时堆放土、石料和剥离地表土周边设置临时草袋装土挡墙拦挡。对堆积建筑砂石料和剥离地表土表面采用防尘网苫盖，防止雨水冲刷和大风吹蚀。</w:t>
            </w:r>
          </w:p>
          <w:p w14:paraId="300F79C1">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施工结束后，应及时对临时占地区域采取平整压实处理，避免水土流失等对植被的破坏。施工结束后及时拆除施工临时设施，并进行迹地恢复。沉淀池用土石填埋至原高程，其上覆盖表层土30cm，对施工期用于施工营地等临时占用土地，应严格按照占多少还多少的原则，尽可能恢复原状；对施工区形成的裸地要及时采取表面覆土</w:t>
            </w:r>
            <w:r>
              <w:rPr>
                <w:rFonts w:hAnsi="宋体"/>
                <w:sz w:val="24"/>
                <w:lang w:bidi="en-US"/>
              </w:rPr>
              <w:t>并压紧、夯实</w:t>
            </w:r>
            <w:r>
              <w:rPr>
                <w:rFonts w:hint="eastAsia" w:hAnsi="宋体"/>
                <w:sz w:val="24"/>
                <w:lang w:bidi="en-US"/>
              </w:rPr>
              <w:t>、砾石压盖等措施尽量恢复原地貌、防止水土流失。</w:t>
            </w:r>
          </w:p>
          <w:p w14:paraId="4FAECEDA">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（2）植被恢复措施</w:t>
            </w:r>
          </w:p>
          <w:p w14:paraId="68007214">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施工期尽可能缩小施工作业面和减少扰动面积，限定运输车辆的行驶范围，以最大限度地降低工程开挖及运输车辆对地表砾幕层及原生植物的碾压扰动。本项目总工期为6个月，应划定施工区域，强化施工管理，增强施工人员的环境保护意识。施工结束后，应对站址施工扰动区域及时进行清理和平整，并按要求进行植被恢复、地面硬化，按照破坏多少补偿多少的原则进行生态补偿。根据评价区的环境特征，当地条件、气候等限制因素，选择适宜本地生长的草种进行合理绿化，选择耐旱耐踩踏、低矮匍匐型草种。构建与周边生态环境相协调的植物群落，最终形成可自我维持的生态系统。绿化时优先使用剥离表土，尽可能保持原有的生长环境、土壤肥力和生产能力不变，以利于植被的恢复。</w:t>
            </w:r>
          </w:p>
          <w:p w14:paraId="0F2C9F0E">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（3）野生动物保护措施</w:t>
            </w:r>
          </w:p>
          <w:p w14:paraId="134D705E">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①积极宣传野生动物保护法规，打击捕杀野生动物的行为，提高施工人员保护意识，严禁捕猎野生动物。</w:t>
            </w:r>
          </w:p>
          <w:p w14:paraId="3B16D826">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②鸟类和兽类大多是晨、昏或夜间外出觅食，正午是鸟类休息时间。为了减少工程施工噪声对野生动物的惊扰，应做好施工时间的计划。</w:t>
            </w:r>
          </w:p>
          <w:p w14:paraId="226FF58F">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（4）水土流失防治措施</w:t>
            </w:r>
          </w:p>
          <w:p w14:paraId="1676421A">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本项目建设中会造成水土流失的环节有：</w:t>
            </w:r>
            <w:r>
              <w:rPr>
                <w:rFonts w:hint="eastAsia"/>
                <w:spacing w:val="-4"/>
                <w:sz w:val="24"/>
              </w:rPr>
              <w:t>场地平整、施工生产生活设施修建、施工道路修筑、升压站及站内设备基础建设；输电线路的基坑开挖，</w:t>
            </w:r>
            <w:r>
              <w:rPr>
                <w:spacing w:val="-4"/>
                <w:sz w:val="24"/>
              </w:rPr>
              <w:t>施工期铁塔架设</w:t>
            </w:r>
            <w:r>
              <w:rPr>
                <w:rFonts w:hint="eastAsia"/>
                <w:spacing w:val="-4"/>
                <w:sz w:val="24"/>
              </w:rPr>
              <w:t>、牵张场施工</w:t>
            </w:r>
            <w:r>
              <w:rPr>
                <w:rFonts w:hint="eastAsia" w:hAnsi="宋体"/>
                <w:sz w:val="24"/>
              </w:rPr>
              <w:t>等施工活动</w:t>
            </w:r>
            <w:r>
              <w:rPr>
                <w:rFonts w:hint="eastAsia" w:hAnsi="宋体"/>
                <w:sz w:val="24"/>
                <w:lang w:bidi="en-US"/>
              </w:rPr>
              <w:t>等。因此，建设单位在施工阶段，应严格按照设计要求确定开挖、填筑的坡度，科学规划施工场地布局，合理安排施工时段，避免在暴雨期间进行开挖、填筑等扰动较大的施工活动。施工结束后，必须及时对裸露地表采取植被恢复措施，以恢复自然景观，减少水土流失。</w:t>
            </w:r>
          </w:p>
          <w:p w14:paraId="02349F4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（5）施工期防沙治沙措施</w:t>
            </w:r>
          </w:p>
          <w:p w14:paraId="6F816CA4">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本环评要求建设单位严格按照《中华人民共和国防沙治沙法》（2018）中有关规定，执行以下防沙治沙防治措施：</w:t>
            </w:r>
          </w:p>
          <w:p w14:paraId="4832EDFE">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①基础开挖土方堆存过程中使用防尘网，并定期洒水抑尘。</w:t>
            </w:r>
          </w:p>
          <w:p w14:paraId="48BFCEEE">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②合理规划临时工程的位置，尽可能减小扰动范围；临时施工场地在施工结束后及时清理施工垃圾，对施工场地进行平整、压实。土地临时使用过程中发现土地沙化或者沙化程度加重的，应当及时报告当地人民政府。</w:t>
            </w:r>
          </w:p>
          <w:p w14:paraId="02E596F0">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③施工后及时清理现场，尽可能恢复原状地貌，做到“工完、料尽、场清、整洁”，恢复原有生态。施工期间应划定施工活动范围，严格控制和管理运输车辆及重型机械的运行线路和范围，不得离开运输道路及随意行驶，由专人负责，以防破坏土壤和植被，加剧土地荒漠化。</w:t>
            </w:r>
          </w:p>
          <w:p w14:paraId="0DB13821">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s="宋体"/>
                <w:sz w:val="24"/>
              </w:rPr>
            </w:pPr>
            <w:r>
              <w:rPr>
                <w:rFonts w:hint="eastAsia" w:hAnsi="宋体"/>
                <w:sz w:val="24"/>
                <w:lang w:bidi="en-US"/>
              </w:rPr>
              <w:t>④</w:t>
            </w:r>
            <w:r>
              <w:rPr>
                <w:rFonts w:ascii="宋体" w:hAnsi="宋体" w:cs="宋体"/>
                <w:sz w:val="24"/>
              </w:rPr>
              <w:t>禁止在沙化土地上砍挖灌木、药材及其他固沙植物</w:t>
            </w:r>
            <w:r>
              <w:rPr>
                <w:rFonts w:hint="eastAsia" w:ascii="宋体" w:hAnsi="宋体" w:cs="宋体"/>
                <w:sz w:val="24"/>
              </w:rPr>
              <w:t>。</w:t>
            </w:r>
          </w:p>
          <w:p w14:paraId="4E03B3D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（6）对施工单位的要求</w:t>
            </w:r>
          </w:p>
          <w:p w14:paraId="03B64476">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①作为具体的施工机构，其施工行为直接关系到能否将环境的影响和破坏降低到最低程度。施工单位必须自觉遵守和维护有关环境保护的政策法规，教育施工人员爱护施工路段周围的植被。在施工前对施工平面图设计进行科学合理地规划，充分利用原有的地形、地貌，严禁乱挖乱弃，做到文明施工，规范施工，按设计施工。</w:t>
            </w:r>
          </w:p>
          <w:p w14:paraId="7D2DF12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②施工单位应合理进行施工布置，精心组织施工管理，严格将施工区控制在工程征用土地范围内，在开挖过程中，尽量减小和有效控制对施工区生态环境的影响范围和程度。</w:t>
            </w:r>
          </w:p>
          <w:p w14:paraId="39854AC3">
            <w:pPr>
              <w:keepNext w:val="0"/>
              <w:keepLines w:val="0"/>
              <w:suppressLineNumbers w:val="0"/>
              <w:snapToGrid w:val="0"/>
              <w:spacing w:before="0" w:beforeAutospacing="0" w:after="0" w:afterAutospacing="0" w:line="360" w:lineRule="auto"/>
              <w:ind w:left="0" w:right="0" w:firstLine="480" w:firstLineChars="200"/>
              <w:rPr>
                <w:rFonts w:hAnsi="宋体"/>
                <w:sz w:val="24"/>
                <w:lang w:bidi="en-US"/>
              </w:rPr>
            </w:pPr>
            <w:r>
              <w:rPr>
                <w:rFonts w:hint="eastAsia" w:hAnsi="宋体"/>
                <w:sz w:val="24"/>
                <w:lang w:bidi="en-US"/>
              </w:rPr>
              <w:t>③合理安排施工季节和作业时间，优化施工方案，尽量避免在雨季进行大量动土和开挖工程，有效减少区域水土流失，从而减小对生态环境的破坏。</w:t>
            </w:r>
          </w:p>
          <w:p w14:paraId="246670BF">
            <w:pPr>
              <w:keepNext w:val="0"/>
              <w:keepLines w:val="0"/>
              <w:suppressLineNumbers w:val="0"/>
              <w:snapToGrid w:val="0"/>
              <w:spacing w:before="0" w:beforeAutospacing="0" w:after="0" w:afterAutospacing="0" w:line="360" w:lineRule="auto"/>
              <w:ind w:left="0" w:right="0" w:firstLine="480" w:firstLineChars="200"/>
              <w:contextualSpacing/>
              <w:rPr>
                <w:rFonts w:hAnsi="宋体"/>
                <w:color w:val="FF0000"/>
                <w:szCs w:val="21"/>
              </w:rPr>
            </w:pPr>
            <w:r>
              <w:rPr>
                <w:rFonts w:hint="eastAsia" w:hAnsi="宋体"/>
                <w:sz w:val="24"/>
                <w:lang w:bidi="en-US"/>
              </w:rPr>
              <w:t>④施工期对防渗工程要有施工质检报告，</w:t>
            </w:r>
            <w:r>
              <w:rPr>
                <w:rFonts w:hAnsi="宋体"/>
                <w:sz w:val="24"/>
              </w:rPr>
              <w:t>对防渗工程在施工中应</w:t>
            </w:r>
            <w:r>
              <w:rPr>
                <w:rFonts w:hint="eastAsia" w:hAnsi="宋体"/>
                <w:sz w:val="24"/>
              </w:rPr>
              <w:t>做</w:t>
            </w:r>
            <w:r>
              <w:rPr>
                <w:rFonts w:hAnsi="宋体"/>
                <w:sz w:val="24"/>
              </w:rPr>
              <w:t>详细记录，</w:t>
            </w:r>
            <w:r>
              <w:rPr>
                <w:rFonts w:hint="eastAsia" w:hAnsi="宋体"/>
                <w:sz w:val="24"/>
              </w:rPr>
              <w:t>监理做好照片、影像资料的收集，记录施工过程。</w:t>
            </w:r>
            <w:r>
              <w:rPr>
                <w:rFonts w:hAnsi="宋体"/>
                <w:sz w:val="24"/>
              </w:rPr>
              <w:t>防渗工程完工后，建设单位</w:t>
            </w:r>
            <w:r>
              <w:rPr>
                <w:rFonts w:hint="eastAsia" w:hAnsi="宋体"/>
                <w:sz w:val="24"/>
              </w:rPr>
              <w:t>应</w:t>
            </w:r>
            <w:r>
              <w:rPr>
                <w:rFonts w:hAnsi="宋体"/>
                <w:sz w:val="24"/>
              </w:rPr>
              <w:t>组织质检部门、设计单位、工程监理单位、施工单位等进行阶段性工程质量验收，并留下工程质量验收资料和施工期对应的影像资料</w:t>
            </w:r>
            <w:r>
              <w:rPr>
                <w:rFonts w:hint="eastAsia" w:hAnsi="宋体"/>
                <w:sz w:val="24"/>
              </w:rPr>
              <w:t>，</w:t>
            </w:r>
            <w:r>
              <w:rPr>
                <w:rFonts w:hAnsi="宋体"/>
                <w:sz w:val="24"/>
              </w:rPr>
              <w:t>工程验收合格后方能开展下一阶段的施工。对不合格的施工项目责令施工单位返工</w:t>
            </w:r>
            <w:r>
              <w:rPr>
                <w:rFonts w:hint="eastAsia" w:hAnsi="宋体"/>
                <w:sz w:val="24"/>
              </w:rPr>
              <w:t>，确保在发生事故时要能保证满足防渗效果。</w:t>
            </w:r>
          </w:p>
        </w:tc>
      </w:tr>
      <w:tr w14:paraId="33962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9" w:hRule="atLeast"/>
          <w:jc w:val="center"/>
        </w:trPr>
        <w:tc>
          <w:tcPr>
            <w:tcW w:w="826" w:type="dxa"/>
            <w:tcMar>
              <w:left w:w="28" w:type="dxa"/>
              <w:right w:w="28" w:type="dxa"/>
            </w:tcMar>
            <w:vAlign w:val="center"/>
          </w:tcPr>
          <w:p w14:paraId="1160CD31">
            <w:pPr>
              <w:keepNext w:val="0"/>
              <w:keepLines w:val="0"/>
              <w:suppressLineNumbers w:val="0"/>
              <w:adjustRightInd w:val="0"/>
              <w:snapToGrid w:val="0"/>
              <w:spacing w:before="0" w:beforeAutospacing="0" w:after="0" w:afterAutospacing="0"/>
              <w:ind w:left="0" w:right="0"/>
              <w:jc w:val="center"/>
              <w:rPr>
                <w:rFonts w:hAnsi="宋体"/>
                <w:bCs/>
                <w:spacing w:val="10"/>
                <w:sz w:val="24"/>
              </w:rPr>
            </w:pPr>
            <w:r>
              <w:rPr>
                <w:rFonts w:hAnsi="宋体"/>
                <w:bCs/>
                <w:spacing w:val="10"/>
                <w:sz w:val="24"/>
              </w:rPr>
              <w:t>运营期生态环境保护措施</w:t>
            </w:r>
          </w:p>
        </w:tc>
        <w:tc>
          <w:tcPr>
            <w:tcW w:w="8439" w:type="dxa"/>
            <w:vAlign w:val="center"/>
          </w:tcPr>
          <w:p w14:paraId="6F182C0C">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textAlignment w:val="auto"/>
              <w:rPr>
                <w:rFonts w:hAnsi="宋体"/>
                <w:sz w:val="24"/>
                <w:lang w:bidi="en-US"/>
              </w:rPr>
            </w:pPr>
            <w:r>
              <w:rPr>
                <w:rFonts w:hAnsi="宋体"/>
                <w:b/>
                <w:bCs/>
                <w:sz w:val="24"/>
                <w:lang w:bidi="en-US"/>
              </w:rPr>
              <w:t>1</w:t>
            </w:r>
            <w:r>
              <w:rPr>
                <w:rFonts w:hint="eastAsia" w:hAnsi="宋体"/>
                <w:b/>
                <w:bCs/>
                <w:sz w:val="24"/>
                <w:lang w:bidi="en-US"/>
              </w:rPr>
              <w:t>、</w:t>
            </w:r>
            <w:r>
              <w:rPr>
                <w:rFonts w:hAnsi="宋体"/>
                <w:b/>
                <w:bCs/>
                <w:sz w:val="24"/>
                <w:lang w:bidi="en-US"/>
              </w:rPr>
              <w:t>大气环境防治措施</w:t>
            </w:r>
          </w:p>
          <w:p w14:paraId="761A67A0">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本项目运行过程中，输电线路不涉及废气排放。升压站生活区内设置食堂，运营期废气主要为食堂油烟。</w:t>
            </w:r>
          </w:p>
          <w:p w14:paraId="4CEF938B">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本项目每天就餐按最大人数</w:t>
            </w:r>
            <w:r>
              <w:rPr>
                <w:rFonts w:hint="eastAsia" w:hAnsi="宋体"/>
                <w:sz w:val="24"/>
              </w:rPr>
              <w:t>15</w:t>
            </w:r>
            <w:r>
              <w:rPr>
                <w:rFonts w:hint="eastAsia" w:hAnsi="宋体"/>
                <w:sz w:val="24"/>
                <w:lang w:val="zh-CN"/>
              </w:rPr>
              <w:t>人计，</w:t>
            </w:r>
            <w:r>
              <w:rPr>
                <w:rFonts w:hAnsi="宋体"/>
                <w:sz w:val="24"/>
                <w:lang w:val="zh-CN"/>
              </w:rPr>
              <w:t>年</w:t>
            </w:r>
            <w:r>
              <w:rPr>
                <w:rFonts w:hint="eastAsia" w:hAnsi="宋体"/>
                <w:sz w:val="24"/>
                <w:lang w:val="zh-CN"/>
              </w:rPr>
              <w:t>运营</w:t>
            </w:r>
            <w:r>
              <w:rPr>
                <w:rFonts w:hAnsi="宋体"/>
                <w:sz w:val="24"/>
                <w:lang w:val="zh-CN"/>
              </w:rPr>
              <w:t>时间为</w:t>
            </w:r>
            <w:r>
              <w:rPr>
                <w:rFonts w:hint="eastAsia" w:hAnsi="宋体"/>
                <w:sz w:val="24"/>
                <w:lang w:val="zh-CN"/>
              </w:rPr>
              <w:t>365</w:t>
            </w:r>
            <w:r>
              <w:rPr>
                <w:rFonts w:hAnsi="宋体"/>
                <w:sz w:val="24"/>
                <w:lang w:val="zh-CN"/>
              </w:rPr>
              <w:t>d</w:t>
            </w:r>
            <w:r>
              <w:rPr>
                <w:rFonts w:hint="eastAsia" w:hAnsi="宋体"/>
                <w:sz w:val="24"/>
                <w:lang w:val="zh-CN"/>
              </w:rPr>
              <w:t>，</w:t>
            </w:r>
            <w:r>
              <w:rPr>
                <w:rFonts w:hAnsi="宋体"/>
                <w:sz w:val="24"/>
              </w:rPr>
              <w:t>消耗动植物油以</w:t>
            </w:r>
            <w:r>
              <w:rPr>
                <w:rFonts w:hint="eastAsia" w:hAnsi="宋体"/>
                <w:sz w:val="24"/>
              </w:rPr>
              <w:t>40</w:t>
            </w:r>
            <w:r>
              <w:rPr>
                <w:rFonts w:hAnsi="宋体"/>
                <w:sz w:val="24"/>
              </w:rPr>
              <w:t>g/</w:t>
            </w:r>
            <w:r>
              <w:rPr>
                <w:rFonts w:hint="eastAsia" w:hAnsi="宋体"/>
                <w:sz w:val="24"/>
              </w:rPr>
              <w:t>人</w:t>
            </w:r>
            <w:r>
              <w:rPr>
                <w:rFonts w:hAnsi="宋体"/>
                <w:sz w:val="24"/>
              </w:rPr>
              <w:t>·d</w:t>
            </w:r>
            <w:r>
              <w:rPr>
                <w:rFonts w:hint="eastAsia" w:hAnsi="宋体"/>
                <w:sz w:val="24"/>
              </w:rPr>
              <w:t>计，则食堂年消耗食用油219</w:t>
            </w:r>
            <w:r>
              <w:rPr>
                <w:rFonts w:hAnsi="宋体"/>
                <w:sz w:val="24"/>
              </w:rPr>
              <w:t>kg/a</w:t>
            </w:r>
            <w:r>
              <w:rPr>
                <w:rFonts w:hint="eastAsia" w:hAnsi="宋体"/>
                <w:sz w:val="24"/>
              </w:rPr>
              <w:t>。食物烹饪、加工过程中产生油烟废气，油烟的产生量按食用油的</w:t>
            </w:r>
            <w:r>
              <w:rPr>
                <w:rFonts w:hAnsi="宋体"/>
                <w:sz w:val="24"/>
              </w:rPr>
              <w:t>3%</w:t>
            </w:r>
            <w:r>
              <w:rPr>
                <w:rFonts w:hint="eastAsia" w:hAnsi="宋体"/>
                <w:sz w:val="24"/>
              </w:rPr>
              <w:t>计算，则食堂油烟产生量约6.57</w:t>
            </w:r>
            <w:r>
              <w:rPr>
                <w:rFonts w:hAnsi="宋体"/>
                <w:sz w:val="24"/>
              </w:rPr>
              <w:t>kg/a</w:t>
            </w:r>
            <w:r>
              <w:rPr>
                <w:rFonts w:hint="eastAsia" w:hAnsi="宋体"/>
                <w:sz w:val="24"/>
              </w:rPr>
              <w:t>，</w:t>
            </w:r>
            <w:r>
              <w:rPr>
                <w:rFonts w:hAnsi="宋体"/>
                <w:sz w:val="24"/>
                <w:lang w:val="zh-CN"/>
              </w:rPr>
              <w:t>本环评要求食堂安装油烟净化器1套，集气罩风量为</w:t>
            </w:r>
            <w:r>
              <w:rPr>
                <w:rFonts w:hint="eastAsia" w:hAnsi="宋体"/>
                <w:sz w:val="24"/>
              </w:rPr>
              <w:t>3</w:t>
            </w:r>
            <w:r>
              <w:rPr>
                <w:rFonts w:hint="eastAsia" w:hAnsi="宋体"/>
                <w:sz w:val="24"/>
                <w:lang w:val="zh-CN"/>
              </w:rPr>
              <w:t>0</w:t>
            </w:r>
            <w:r>
              <w:rPr>
                <w:rFonts w:hAnsi="宋体"/>
                <w:sz w:val="24"/>
                <w:lang w:val="zh-CN"/>
              </w:rPr>
              <w:t>00m</w:t>
            </w:r>
            <w:r>
              <w:rPr>
                <w:rFonts w:hAnsi="宋体"/>
                <w:sz w:val="24"/>
                <w:vertAlign w:val="superscript"/>
                <w:lang w:val="zh-CN"/>
              </w:rPr>
              <w:t>3</w:t>
            </w:r>
            <w:r>
              <w:rPr>
                <w:rFonts w:hAnsi="宋体"/>
                <w:sz w:val="24"/>
                <w:lang w:val="zh-CN"/>
              </w:rPr>
              <w:t>/h，油烟净化器处理效率为</w:t>
            </w:r>
            <w:r>
              <w:rPr>
                <w:rFonts w:hint="eastAsia" w:hAnsi="宋体"/>
                <w:sz w:val="24"/>
                <w:lang w:val="zh-CN"/>
              </w:rPr>
              <w:t>60</w:t>
            </w:r>
            <w:r>
              <w:rPr>
                <w:rFonts w:hAnsi="宋体"/>
                <w:sz w:val="24"/>
                <w:lang w:val="zh-CN"/>
              </w:rPr>
              <w:t>%，油烟排放量</w:t>
            </w:r>
            <w:r>
              <w:rPr>
                <w:rFonts w:hint="eastAsia" w:hAnsi="宋体"/>
                <w:sz w:val="24"/>
                <w:lang w:val="zh-CN"/>
              </w:rPr>
              <w:t>0.00</w:t>
            </w:r>
            <w:r>
              <w:rPr>
                <w:rFonts w:hint="eastAsia" w:hAnsi="宋体"/>
                <w:sz w:val="24"/>
              </w:rPr>
              <w:t>26</w:t>
            </w:r>
            <w:r>
              <w:rPr>
                <w:rFonts w:hAnsi="宋体"/>
                <w:sz w:val="24"/>
                <w:lang w:val="zh-CN"/>
              </w:rPr>
              <w:t>t/a，排放速率</w:t>
            </w:r>
            <w:r>
              <w:rPr>
                <w:rFonts w:hint="eastAsia" w:hAnsi="宋体"/>
                <w:sz w:val="24"/>
                <w:lang w:val="zh-CN"/>
              </w:rPr>
              <w:t>0.00</w:t>
            </w:r>
            <w:r>
              <w:rPr>
                <w:rFonts w:hint="eastAsia" w:hAnsi="宋体"/>
                <w:sz w:val="24"/>
              </w:rPr>
              <w:t>23</w:t>
            </w:r>
            <w:r>
              <w:rPr>
                <w:rFonts w:hAnsi="宋体"/>
                <w:sz w:val="24"/>
                <w:lang w:val="zh-CN"/>
              </w:rPr>
              <w:t>kg/h，排放浓度</w:t>
            </w:r>
            <w:r>
              <w:rPr>
                <w:rFonts w:hint="eastAsia" w:hAnsi="宋体"/>
                <w:sz w:val="24"/>
              </w:rPr>
              <w:t>0.867</w:t>
            </w:r>
            <w:r>
              <w:rPr>
                <w:rFonts w:hAnsi="宋体"/>
                <w:sz w:val="24"/>
                <w:lang w:val="zh-CN"/>
              </w:rPr>
              <w:t>mg/m</w:t>
            </w:r>
            <w:r>
              <w:rPr>
                <w:rFonts w:hAnsi="宋体"/>
                <w:sz w:val="24"/>
                <w:vertAlign w:val="superscript"/>
                <w:lang w:val="zh-CN"/>
              </w:rPr>
              <w:t>3</w:t>
            </w:r>
            <w:r>
              <w:rPr>
                <w:rFonts w:hAnsi="宋体"/>
                <w:sz w:val="24"/>
                <w:lang w:val="zh-CN"/>
              </w:rPr>
              <w:t>。</w:t>
            </w:r>
          </w:p>
          <w:p w14:paraId="596F0A77">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rPr>
            </w:pPr>
            <w:r>
              <w:rPr>
                <w:rFonts w:hint="eastAsia" w:hAnsi="宋体"/>
                <w:sz w:val="24"/>
              </w:rPr>
              <w:t>可以满足《饮食业油烟排放标准（试行）》（</w:t>
            </w:r>
            <w:r>
              <w:rPr>
                <w:rFonts w:hAnsi="宋体"/>
                <w:sz w:val="24"/>
              </w:rPr>
              <w:t>GB18483-2001</w:t>
            </w:r>
            <w:r>
              <w:rPr>
                <w:rFonts w:hint="eastAsia" w:hAnsi="宋体"/>
                <w:sz w:val="24"/>
              </w:rPr>
              <w:t>）中小型油烟最高允许排放浓度</w:t>
            </w:r>
            <w:r>
              <w:rPr>
                <w:rFonts w:hAnsi="宋体"/>
                <w:sz w:val="24"/>
              </w:rPr>
              <w:t>2mg/m</w:t>
            </w:r>
            <w:r>
              <w:rPr>
                <w:rFonts w:hAnsi="宋体"/>
                <w:sz w:val="24"/>
                <w:vertAlign w:val="superscript"/>
              </w:rPr>
              <w:t>3</w:t>
            </w:r>
            <w:r>
              <w:rPr>
                <w:rFonts w:hint="eastAsia" w:hAnsi="宋体"/>
                <w:sz w:val="24"/>
              </w:rPr>
              <w:t>限值的要求。同时，根据《饮食业环境保护技术规范》（</w:t>
            </w:r>
            <w:r>
              <w:rPr>
                <w:rFonts w:hAnsi="宋体"/>
                <w:sz w:val="24"/>
              </w:rPr>
              <w:t>HJ554-2010</w:t>
            </w:r>
            <w:r>
              <w:rPr>
                <w:rFonts w:hint="eastAsia" w:hAnsi="宋体"/>
                <w:sz w:val="24"/>
              </w:rPr>
              <w:t>）要求，本项目油烟废气经抽油烟机处理后通过排烟管道引至食堂楼顶排放。对周围环境影响较小。</w:t>
            </w:r>
          </w:p>
          <w:p w14:paraId="5390A64A">
            <w:pPr>
              <w:keepNext w:val="0"/>
              <w:keepLines w:val="0"/>
              <w:suppressLineNumbers w:val="0"/>
              <w:snapToGrid w:val="0"/>
              <w:spacing w:before="0" w:beforeAutospacing="0" w:after="0" w:afterAutospacing="0" w:line="360" w:lineRule="auto"/>
              <w:ind w:left="0" w:right="0"/>
              <w:rPr>
                <w:rFonts w:hAnsi="宋体"/>
                <w:sz w:val="24"/>
                <w:lang w:bidi="en-US"/>
              </w:rPr>
            </w:pPr>
            <w:r>
              <w:rPr>
                <w:rFonts w:hAnsi="宋体"/>
                <w:b/>
                <w:bCs/>
                <w:sz w:val="24"/>
                <w:lang w:bidi="en-US"/>
              </w:rPr>
              <w:t>2</w:t>
            </w:r>
            <w:r>
              <w:rPr>
                <w:rFonts w:hint="eastAsia" w:hAnsi="宋体"/>
                <w:b/>
                <w:bCs/>
                <w:sz w:val="24"/>
                <w:lang w:bidi="en-US"/>
              </w:rPr>
              <w:t>、</w:t>
            </w:r>
            <w:r>
              <w:rPr>
                <w:rFonts w:hAnsi="宋体"/>
                <w:b/>
                <w:bCs/>
                <w:sz w:val="24"/>
                <w:lang w:bidi="en-US"/>
              </w:rPr>
              <w:t>水环境防治措施</w:t>
            </w:r>
          </w:p>
          <w:p w14:paraId="7418DBEB">
            <w:pPr>
              <w:keepNext w:val="0"/>
              <w:keepLines w:val="0"/>
              <w:suppressLineNumbers w:val="0"/>
              <w:spacing w:before="0" w:beforeAutospacing="0" w:after="0" w:afterAutospacing="0" w:line="360" w:lineRule="auto"/>
              <w:ind w:left="0" w:right="0" w:firstLine="480" w:firstLineChars="200"/>
              <w:rPr>
                <w:rFonts w:hAnsi="宋体"/>
                <w:sz w:val="24"/>
              </w:rPr>
            </w:pPr>
            <w:r>
              <w:rPr>
                <w:rFonts w:hint="eastAsia" w:hAnsi="宋体"/>
                <w:sz w:val="24"/>
              </w:rPr>
              <w:t>项目外排废水主要为员工生活污水。生活污水排放量按照用水量的80%计算，本项目生活污水排放量为0.96m³/d，350.4m³/a。</w:t>
            </w:r>
          </w:p>
          <w:p w14:paraId="545DC1FF">
            <w:pPr>
              <w:keepNext w:val="0"/>
              <w:keepLines w:val="0"/>
              <w:suppressLineNumbers w:val="0"/>
              <w:autoSpaceDE w:val="0"/>
              <w:autoSpaceDN w:val="0"/>
              <w:spacing w:before="0" w:beforeAutospacing="0" w:after="0" w:afterAutospacing="0" w:line="360" w:lineRule="auto"/>
              <w:ind w:left="0" w:right="0" w:firstLine="482" w:firstLineChars="200"/>
              <w:rPr>
                <w:rFonts w:hAnsi="宋体"/>
                <w:b/>
                <w:sz w:val="24"/>
                <w:lang w:val="zh-CN"/>
              </w:rPr>
            </w:pPr>
            <w:r>
              <w:rPr>
                <w:rFonts w:hint="eastAsia" w:hAnsi="宋体"/>
                <w:b/>
                <w:sz w:val="24"/>
                <w:lang w:val="zh-CN"/>
              </w:rPr>
              <w:t>废水处理可行性分析</w:t>
            </w:r>
          </w:p>
          <w:p w14:paraId="4A11BC35">
            <w:pPr>
              <w:keepNext w:val="0"/>
              <w:keepLines w:val="0"/>
              <w:suppressLineNumbers w:val="0"/>
              <w:autoSpaceDE w:val="0"/>
              <w:autoSpaceDN w:val="0"/>
              <w:spacing w:before="0" w:beforeAutospacing="0" w:after="0" w:afterAutospacing="0" w:line="360" w:lineRule="auto"/>
              <w:ind w:left="0" w:right="0" w:firstLine="480" w:firstLineChars="200"/>
              <w:rPr>
                <w:rFonts w:hAnsi="宋体"/>
                <w:sz w:val="24"/>
              </w:rPr>
            </w:pPr>
            <w:r>
              <w:rPr>
                <w:rFonts w:hint="eastAsia" w:hAnsi="宋体"/>
                <w:sz w:val="24"/>
              </w:rPr>
              <w:t>（1）隔油池</w:t>
            </w:r>
          </w:p>
          <w:p w14:paraId="4947AF1E">
            <w:pPr>
              <w:keepNext w:val="0"/>
              <w:keepLines w:val="0"/>
              <w:suppressLineNumbers w:val="0"/>
              <w:autoSpaceDE w:val="0"/>
              <w:autoSpaceDN w:val="0"/>
              <w:spacing w:before="0" w:beforeAutospacing="0" w:after="0" w:afterAutospacing="0" w:line="360" w:lineRule="auto"/>
              <w:ind w:left="0" w:right="0" w:firstLine="480" w:firstLineChars="200"/>
              <w:rPr>
                <w:rFonts w:hAnsi="宋体"/>
                <w:sz w:val="24"/>
              </w:rPr>
            </w:pPr>
            <w:r>
              <w:rPr>
                <w:rFonts w:hint="eastAsia" w:hAnsi="宋体"/>
                <w:sz w:val="24"/>
              </w:rPr>
              <w:t>隔油池</w:t>
            </w:r>
            <w:r>
              <w:rPr>
                <w:rFonts w:hAnsi="宋体"/>
                <w:sz w:val="24"/>
              </w:rPr>
              <w:t>是利用废水中悬浮物和水的比重不同而达到分离的目的，含油废水通过配水槽进入平面为矩形的油水分离器，沿水平方向缓慢流动，在流动中油品上浮水面，由集油管或设置在池面的刮油机推送到集油管中流入脱水罐，在油水分离器中沉淀下来的油及其他杂质，积聚到池底污泥斗中，通过排泥管进入污泥管中，经过隔油处理的废水则排出池外，</w:t>
            </w:r>
            <w:r>
              <w:rPr>
                <w:rFonts w:hint="eastAsia" w:hAnsi="宋体"/>
                <w:sz w:val="24"/>
              </w:rPr>
              <w:t>同生活污水一并排入地埋式一体化污水处理设备</w:t>
            </w:r>
            <w:r>
              <w:rPr>
                <w:rFonts w:hAnsi="宋体"/>
                <w:sz w:val="24"/>
              </w:rPr>
              <w:t>。餐饮废水中，动植物油浓度为10</w:t>
            </w:r>
            <w:r>
              <w:rPr>
                <w:rFonts w:hint="eastAsia" w:hAnsi="宋体"/>
                <w:sz w:val="24"/>
              </w:rPr>
              <w:t>-</w:t>
            </w:r>
            <w:r>
              <w:rPr>
                <w:rFonts w:hAnsi="宋体"/>
                <w:sz w:val="24"/>
              </w:rPr>
              <w:t>20mg/L之间，餐饮废水进入</w:t>
            </w:r>
            <w:r>
              <w:rPr>
                <w:rFonts w:hint="eastAsia" w:hAnsi="宋体"/>
                <w:sz w:val="24"/>
              </w:rPr>
              <w:t>隔油池</w:t>
            </w:r>
            <w:r>
              <w:rPr>
                <w:rFonts w:hAnsi="宋体"/>
                <w:sz w:val="24"/>
              </w:rPr>
              <w:t>，在池内的停留时间为2</w:t>
            </w:r>
            <w:r>
              <w:rPr>
                <w:rFonts w:hint="eastAsia" w:hAnsi="宋体"/>
                <w:sz w:val="24"/>
              </w:rPr>
              <w:t>-</w:t>
            </w:r>
            <w:r>
              <w:rPr>
                <w:rFonts w:hAnsi="宋体"/>
                <w:sz w:val="24"/>
              </w:rPr>
              <w:t>10min，除油效率50%-60%。</w:t>
            </w:r>
          </w:p>
          <w:p w14:paraId="689E5051">
            <w:pPr>
              <w:keepNext w:val="0"/>
              <w:keepLines w:val="0"/>
              <w:suppressLineNumbers w:val="0"/>
              <w:autoSpaceDE w:val="0"/>
              <w:autoSpaceDN w:val="0"/>
              <w:spacing w:before="0" w:beforeAutospacing="0" w:after="0" w:afterAutospacing="0" w:line="360" w:lineRule="auto"/>
              <w:ind w:left="0" w:right="0" w:firstLine="480" w:firstLineChars="200"/>
              <w:rPr>
                <w:rFonts w:hAnsi="宋体"/>
                <w:sz w:val="24"/>
              </w:rPr>
            </w:pPr>
            <w:r>
              <w:rPr>
                <w:rFonts w:hint="eastAsia" w:hAnsi="宋体"/>
                <w:sz w:val="24"/>
              </w:rPr>
              <w:t>（2）地埋式一体化污水处理设施</w:t>
            </w:r>
          </w:p>
          <w:p w14:paraId="059E2FAA">
            <w:pPr>
              <w:keepNext w:val="0"/>
              <w:keepLines w:val="0"/>
              <w:suppressLineNumbers w:val="0"/>
              <w:autoSpaceDE w:val="0"/>
              <w:autoSpaceDN w:val="0"/>
              <w:spacing w:before="0" w:beforeAutospacing="0" w:after="0" w:afterAutospacing="0" w:line="360" w:lineRule="auto"/>
              <w:ind w:left="0" w:right="0" w:firstLine="480" w:firstLineChars="200"/>
              <w:rPr>
                <w:rFonts w:hAnsi="宋体"/>
                <w:sz w:val="24"/>
              </w:rPr>
            </w:pPr>
            <w:r>
              <w:rPr>
                <w:rFonts w:hAnsi="宋体"/>
                <w:sz w:val="24"/>
              </w:rPr>
              <w:t>本工程设计一套处理能力为</w:t>
            </w:r>
            <w:r>
              <w:rPr>
                <w:rFonts w:hint="eastAsia" w:hAnsi="宋体"/>
                <w:sz w:val="24"/>
              </w:rPr>
              <w:t>0.5</w:t>
            </w:r>
            <w:r>
              <w:rPr>
                <w:rFonts w:hAnsi="宋体"/>
                <w:sz w:val="24"/>
              </w:rPr>
              <w:t>m</w:t>
            </w:r>
            <w:r>
              <w:rPr>
                <w:rFonts w:hAnsi="宋体"/>
                <w:sz w:val="24"/>
                <w:vertAlign w:val="superscript"/>
              </w:rPr>
              <w:t>3</w:t>
            </w:r>
            <w:r>
              <w:rPr>
                <w:rFonts w:hAnsi="宋体"/>
                <w:sz w:val="24"/>
              </w:rPr>
              <w:t>/h的地埋式一体化污水处理设施</w:t>
            </w:r>
            <w:r>
              <w:rPr>
                <w:rFonts w:hint="eastAsia" w:hAnsi="宋体"/>
                <w:sz w:val="24"/>
              </w:rPr>
              <w:t>，本项目污水</w:t>
            </w:r>
            <w:r>
              <w:rPr>
                <w:rFonts w:hAnsi="宋体"/>
                <w:sz w:val="24"/>
              </w:rPr>
              <w:t>污染物成分较为简单，</w:t>
            </w:r>
            <w:r>
              <w:rPr>
                <w:rFonts w:hint="eastAsia" w:hAnsi="宋体"/>
                <w:sz w:val="24"/>
              </w:rPr>
              <w:t>地埋式一体化处理设施是用玻璃钢和增强塑料制作的圆桶形设备，</w:t>
            </w:r>
            <w:r>
              <w:rPr>
                <w:rFonts w:hAnsi="宋体"/>
                <w:sz w:val="24"/>
              </w:rPr>
              <w:t>一体化污水处理设备包括以下处理工段：缺氧生化池+好氧生化池+</w:t>
            </w:r>
            <w:r>
              <w:rPr>
                <w:rFonts w:hint="eastAsia" w:hAnsi="宋体"/>
                <w:sz w:val="24"/>
              </w:rPr>
              <w:t>沉淀</w:t>
            </w:r>
            <w:r>
              <w:rPr>
                <w:rFonts w:hAnsi="宋体"/>
                <w:sz w:val="24"/>
              </w:rPr>
              <w:t>池+消毒池</w:t>
            </w:r>
            <w:r>
              <w:rPr>
                <w:rFonts w:hint="eastAsia" w:hAnsi="宋体"/>
                <w:sz w:val="24"/>
              </w:rPr>
              <w:t>+多介质过滤器。</w:t>
            </w:r>
            <w:r>
              <w:rPr>
                <w:rFonts w:hAnsi="宋体"/>
                <w:sz w:val="24"/>
              </w:rPr>
              <w:t>一体化污水处理设备埋设于地下，减少工程占地。</w:t>
            </w:r>
            <w:r>
              <w:rPr>
                <w:rFonts w:hint="eastAsia" w:hAnsi="宋体"/>
                <w:sz w:val="24"/>
              </w:rPr>
              <w:t>地埋式一体化处理设施把传统的调节池、沉淀池和过滤池集成在一个容器里，污水的降解路线延长，出水杂质减少、净化效率提高。本项目</w:t>
            </w:r>
            <w:r>
              <w:rPr>
                <w:rFonts w:hAnsi="宋体"/>
                <w:sz w:val="24"/>
              </w:rPr>
              <w:t>污水经过</w:t>
            </w:r>
            <w:r>
              <w:rPr>
                <w:rFonts w:hint="eastAsia" w:hAnsi="宋体"/>
                <w:sz w:val="24"/>
              </w:rPr>
              <w:t>地埋式一体化处理设施</w:t>
            </w:r>
            <w:r>
              <w:rPr>
                <w:rFonts w:hAnsi="宋体"/>
                <w:sz w:val="24"/>
              </w:rPr>
              <w:t>处理后，</w:t>
            </w:r>
            <w:r>
              <w:rPr>
                <w:rFonts w:hint="eastAsia" w:hAnsi="宋体"/>
                <w:sz w:val="24"/>
              </w:rPr>
              <w:t>出水水质</w:t>
            </w:r>
            <w:r>
              <w:rPr>
                <w:rFonts w:hAnsi="宋体"/>
                <w:sz w:val="24"/>
              </w:rPr>
              <w:t>达到</w:t>
            </w:r>
            <w:r>
              <w:rPr>
                <w:rFonts w:hint="eastAsia" w:hAnsi="宋体"/>
                <w:sz w:val="24"/>
              </w:rPr>
              <w:t>新疆维吾尔自治区《农村生活污水处理排放标准》（DB65 4275-2019）表2 A级水质标准后，排入项目区150m</w:t>
            </w:r>
            <w:r>
              <w:rPr>
                <w:rFonts w:hint="eastAsia" w:hAnsi="宋体"/>
                <w:sz w:val="24"/>
                <w:vertAlign w:val="superscript"/>
              </w:rPr>
              <w:t>3</w:t>
            </w:r>
            <w:r>
              <w:rPr>
                <w:rFonts w:hint="eastAsia" w:hAnsi="宋体"/>
                <w:sz w:val="24"/>
              </w:rPr>
              <w:t>防渗</w:t>
            </w:r>
            <w:r>
              <w:rPr>
                <w:rFonts w:hAnsi="宋体"/>
                <w:sz w:val="24"/>
              </w:rPr>
              <w:t>集水池</w:t>
            </w:r>
            <w:r>
              <w:rPr>
                <w:rFonts w:hint="eastAsia" w:hAnsi="宋体"/>
                <w:sz w:val="24"/>
              </w:rPr>
              <w:t>内，夏季回用于生活区绿化，冬季暂存翌年再利用，以达到项目水资源化利用，因此对环境影响不大。</w:t>
            </w:r>
          </w:p>
          <w:p w14:paraId="0D070AA5">
            <w:pPr>
              <w:keepNext w:val="0"/>
              <w:keepLines w:val="0"/>
              <w:suppressLineNumbers w:val="0"/>
              <w:autoSpaceDE w:val="0"/>
              <w:autoSpaceDN w:val="0"/>
              <w:spacing w:before="0" w:beforeAutospacing="0" w:after="0" w:afterAutospacing="0" w:line="360" w:lineRule="auto"/>
              <w:ind w:left="0" w:right="0" w:firstLine="480" w:firstLineChars="200"/>
              <w:rPr>
                <w:rFonts w:hAnsi="宋体"/>
                <w:sz w:val="24"/>
              </w:rPr>
            </w:pPr>
            <w:r>
              <w:rPr>
                <w:rFonts w:hint="eastAsia" w:hAnsi="宋体"/>
                <w:sz w:val="24"/>
              </w:rPr>
              <w:t>本项目日排水量0.96</w:t>
            </w:r>
            <w:r>
              <w:rPr>
                <w:rFonts w:hAnsi="宋体"/>
                <w:sz w:val="24"/>
              </w:rPr>
              <w:t>m</w:t>
            </w:r>
            <w:r>
              <w:rPr>
                <w:rFonts w:hAnsi="宋体"/>
                <w:sz w:val="24"/>
                <w:vertAlign w:val="superscript"/>
              </w:rPr>
              <w:t>3</w:t>
            </w:r>
            <w:r>
              <w:rPr>
                <w:rFonts w:hAnsi="宋体"/>
                <w:sz w:val="24"/>
              </w:rPr>
              <w:t>/</w:t>
            </w:r>
            <w:r>
              <w:rPr>
                <w:rFonts w:hint="eastAsia" w:hAnsi="宋体"/>
                <w:sz w:val="24"/>
              </w:rPr>
              <w:t>d，冬季暂存期按11月至次年3月考虑，约150天，经计算冬季暂存水量为144</w:t>
            </w:r>
            <w:r>
              <w:rPr>
                <w:rFonts w:hAnsi="宋体"/>
                <w:sz w:val="24"/>
              </w:rPr>
              <w:t>m</w:t>
            </w:r>
            <w:r>
              <w:rPr>
                <w:rFonts w:hAnsi="宋体"/>
                <w:sz w:val="24"/>
                <w:vertAlign w:val="superscript"/>
              </w:rPr>
              <w:t>3</w:t>
            </w:r>
            <w:r>
              <w:rPr>
                <w:rFonts w:hint="eastAsia" w:hAnsi="宋体"/>
                <w:sz w:val="24"/>
              </w:rPr>
              <w:t>，本项目拟建的150m</w:t>
            </w:r>
            <w:r>
              <w:rPr>
                <w:rFonts w:hint="eastAsia" w:hAnsi="宋体"/>
                <w:sz w:val="24"/>
                <w:vertAlign w:val="superscript"/>
              </w:rPr>
              <w:t>3</w:t>
            </w:r>
            <w:r>
              <w:rPr>
                <w:rFonts w:hint="eastAsia" w:hAnsi="宋体"/>
                <w:sz w:val="24"/>
              </w:rPr>
              <w:t>防渗集水池可接纳冬季暂存水量。</w:t>
            </w:r>
          </w:p>
          <w:p w14:paraId="04FA5ED7">
            <w:pPr>
              <w:keepNext w:val="0"/>
              <w:keepLines w:val="0"/>
              <w:suppressLineNumbers w:val="0"/>
              <w:snapToGrid w:val="0"/>
              <w:spacing w:before="0" w:beforeAutospacing="0" w:after="0" w:afterAutospacing="0" w:line="360" w:lineRule="auto"/>
              <w:ind w:left="0" w:right="0"/>
              <w:rPr>
                <w:rFonts w:hAnsi="宋体"/>
                <w:b/>
                <w:bCs/>
                <w:sz w:val="24"/>
                <w:lang w:bidi="en-US"/>
              </w:rPr>
            </w:pPr>
            <w:r>
              <w:rPr>
                <w:rFonts w:hint="eastAsia" w:hAnsi="宋体"/>
                <w:b/>
                <w:bCs/>
                <w:sz w:val="24"/>
                <w:lang w:bidi="en-US"/>
              </w:rPr>
              <w:t>3、</w:t>
            </w:r>
            <w:r>
              <w:rPr>
                <w:rFonts w:hAnsi="宋体"/>
                <w:b/>
                <w:bCs/>
                <w:sz w:val="24"/>
                <w:lang w:bidi="en-US"/>
              </w:rPr>
              <w:t>噪声环境防治措施</w:t>
            </w:r>
          </w:p>
          <w:p w14:paraId="0964CE32">
            <w:pPr>
              <w:keepNext w:val="0"/>
              <w:keepLines w:val="0"/>
              <w:numPr>
                <w:ilvl w:val="0"/>
                <w:numId w:val="10"/>
              </w:numPr>
              <w:suppressLineNumbers w:val="0"/>
              <w:snapToGrid w:val="0"/>
              <w:spacing w:before="0" w:beforeAutospacing="0" w:after="0" w:afterAutospacing="0" w:line="360" w:lineRule="auto"/>
              <w:ind w:left="0" w:right="0" w:firstLine="482" w:firstLineChars="200"/>
              <w:rPr>
                <w:rFonts w:hAnsi="宋体"/>
                <w:b/>
                <w:bCs/>
                <w:sz w:val="24"/>
                <w:lang w:bidi="en-US"/>
              </w:rPr>
            </w:pPr>
            <w:r>
              <w:rPr>
                <w:rFonts w:hint="eastAsia" w:hAnsi="宋体"/>
                <w:b/>
                <w:bCs/>
                <w:sz w:val="24"/>
                <w:lang w:bidi="en-US"/>
              </w:rPr>
              <w:t>升压站噪声环境防治措施</w:t>
            </w:r>
          </w:p>
          <w:p w14:paraId="2555422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rPr>
            </w:pPr>
            <w:r>
              <w:rPr>
                <w:rFonts w:hint="eastAsia" w:hAnsi="宋体"/>
                <w:sz w:val="24"/>
              </w:rPr>
              <w:t>升压站首先选择低噪声的设备，合理布局站内电气设备及配电装置；加强站内电气设备的日常维护，避免设备异常噪声排放以减少噪声对站区环境的影响，噪声可满足《工业企业厂界环境噪声排放标准》(GB12348-2008)中的2类标准。</w:t>
            </w:r>
          </w:p>
          <w:p w14:paraId="7B94EF6A">
            <w:pPr>
              <w:keepNext w:val="0"/>
              <w:keepLines w:val="0"/>
              <w:numPr>
                <w:ilvl w:val="0"/>
                <w:numId w:val="10"/>
              </w:numPr>
              <w:suppressLineNumbers w:val="0"/>
              <w:snapToGrid w:val="0"/>
              <w:spacing w:before="0" w:beforeAutospacing="0" w:after="0" w:afterAutospacing="0" w:line="360" w:lineRule="auto"/>
              <w:ind w:left="0" w:right="0" w:firstLine="482" w:firstLineChars="200"/>
              <w:rPr>
                <w:rFonts w:hAnsi="宋体"/>
                <w:b/>
                <w:bCs/>
                <w:sz w:val="24"/>
                <w:lang w:bidi="en-US"/>
              </w:rPr>
            </w:pPr>
            <w:r>
              <w:rPr>
                <w:rFonts w:hint="eastAsia" w:hAnsi="宋体"/>
                <w:b/>
                <w:bCs/>
                <w:sz w:val="24"/>
                <w:lang w:bidi="en-US"/>
              </w:rPr>
              <w:t>输电线路噪声环境防治措施</w:t>
            </w:r>
          </w:p>
          <w:p w14:paraId="1BB8CFA9">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sz w:val="24"/>
              </w:rPr>
            </w:pPr>
            <w:r>
              <w:rPr>
                <w:rFonts w:hint="eastAsia" w:hAnsi="宋体"/>
                <w:sz w:val="24"/>
              </w:rPr>
              <w:t>优化输电线路的导线特性，如提高表面光洁度、适当加大导线截面直径等，降低线路噪声水平。输电线路正常运行下，两侧随距离延伸，噪声逐渐衰减，线路运行时声环境符合《声环境质量标准》（</w:t>
            </w:r>
            <w:r>
              <w:rPr>
                <w:rFonts w:hAnsi="宋体"/>
                <w:sz w:val="24"/>
              </w:rPr>
              <w:t>GB3096-2008</w:t>
            </w:r>
            <w:r>
              <w:rPr>
                <w:rFonts w:hint="eastAsia" w:hAnsi="宋体"/>
                <w:sz w:val="24"/>
              </w:rPr>
              <w:t>）中的</w:t>
            </w:r>
            <w:r>
              <w:rPr>
                <w:rFonts w:hAnsi="宋体"/>
                <w:sz w:val="24"/>
              </w:rPr>
              <w:t>2</w:t>
            </w:r>
            <w:r>
              <w:rPr>
                <w:rFonts w:hint="eastAsia" w:hAnsi="宋体"/>
                <w:sz w:val="24"/>
              </w:rPr>
              <w:t>类标准。</w:t>
            </w:r>
          </w:p>
          <w:p w14:paraId="72299C34">
            <w:pPr>
              <w:keepNext w:val="0"/>
              <w:keepLines w:val="0"/>
              <w:suppressLineNumbers w:val="0"/>
              <w:adjustRightInd w:val="0"/>
              <w:snapToGrid w:val="0"/>
              <w:spacing w:before="0" w:beforeAutospacing="0" w:after="0" w:afterAutospacing="0" w:line="360" w:lineRule="auto"/>
              <w:ind w:left="0" w:right="0" w:firstLine="480" w:firstLineChars="200"/>
              <w:rPr>
                <w:rFonts w:hAnsi="宋体"/>
                <w:b/>
                <w:bCs/>
                <w:color w:val="FF0000"/>
                <w:sz w:val="24"/>
                <w:lang w:bidi="en-US"/>
              </w:rPr>
            </w:pPr>
            <w:r>
              <w:rPr>
                <w:rFonts w:hint="eastAsia" w:hAnsi="宋体"/>
                <w:sz w:val="24"/>
              </w:rPr>
              <w:t>本项目投运后噪声不会对周围环境产生不良影响。</w:t>
            </w:r>
          </w:p>
          <w:p w14:paraId="54ABA1FD">
            <w:pPr>
              <w:keepNext w:val="0"/>
              <w:keepLines w:val="0"/>
              <w:suppressLineNumbers w:val="0"/>
              <w:snapToGrid w:val="0"/>
              <w:spacing w:before="0" w:beforeAutospacing="0" w:after="0" w:afterAutospacing="0" w:line="360" w:lineRule="auto"/>
              <w:ind w:left="0" w:right="0"/>
              <w:rPr>
                <w:rFonts w:hAnsi="宋体"/>
                <w:sz w:val="24"/>
              </w:rPr>
            </w:pPr>
            <w:r>
              <w:rPr>
                <w:rFonts w:hAnsi="宋体"/>
                <w:b/>
                <w:bCs/>
                <w:sz w:val="24"/>
                <w:lang w:bidi="en-US"/>
              </w:rPr>
              <w:t>4</w:t>
            </w:r>
            <w:r>
              <w:rPr>
                <w:rFonts w:hint="eastAsia" w:hAnsi="宋体"/>
                <w:b/>
                <w:bCs/>
                <w:sz w:val="24"/>
                <w:lang w:bidi="en-US"/>
              </w:rPr>
              <w:t>、</w:t>
            </w:r>
            <w:r>
              <w:rPr>
                <w:rFonts w:hAnsi="宋体"/>
                <w:b/>
                <w:bCs/>
                <w:sz w:val="24"/>
                <w:lang w:bidi="en-US"/>
              </w:rPr>
              <w:t>固体废物防治措施</w:t>
            </w:r>
          </w:p>
          <w:p w14:paraId="73362EDE">
            <w:pPr>
              <w:keepNext w:val="0"/>
              <w:keepLines w:val="0"/>
              <w:widowControl/>
              <w:suppressLineNumbers w:val="0"/>
              <w:spacing w:before="0" w:beforeAutospacing="0" w:after="0" w:afterAutospacing="0" w:line="360" w:lineRule="auto"/>
              <w:ind w:left="0" w:right="0" w:firstLine="480" w:firstLineChars="200"/>
              <w:jc w:val="left"/>
              <w:rPr>
                <w:rFonts w:hAnsi="宋体"/>
                <w:sz w:val="24"/>
              </w:rPr>
            </w:pPr>
            <w:r>
              <w:rPr>
                <w:rFonts w:hint="eastAsia" w:hAnsi="宋体"/>
                <w:sz w:val="24"/>
                <w:lang w:val="zh-CN"/>
              </w:rPr>
              <w:t>本项目运营期产生的固体废物主要为：升压站内生活垃圾、食堂隔油池油泥、废铅酸蓄电池、废变压器油；输电</w:t>
            </w:r>
            <w:r>
              <w:rPr>
                <w:rFonts w:hint="eastAsia" w:hAnsi="宋体"/>
                <w:sz w:val="24"/>
              </w:rPr>
              <w:t>线路检修时产生少量检修废弃物，均为一般固废，检修完毕后集中收集随检修人员带回至就近垃圾收集点处理。</w:t>
            </w:r>
          </w:p>
          <w:p w14:paraId="7306A477">
            <w:pPr>
              <w:keepNext w:val="0"/>
              <w:keepLines w:val="0"/>
              <w:suppressLineNumbers w:val="0"/>
              <w:adjustRightInd w:val="0"/>
              <w:snapToGrid w:val="0"/>
              <w:spacing w:before="0" w:beforeAutospacing="0" w:after="0" w:afterAutospacing="0" w:line="360" w:lineRule="auto"/>
              <w:ind w:left="0" w:right="0"/>
              <w:rPr>
                <w:rFonts w:hAnsi="宋体"/>
                <w:b/>
                <w:sz w:val="24"/>
                <w:lang w:val="zh-CN"/>
              </w:rPr>
            </w:pPr>
            <w:r>
              <w:rPr>
                <w:rFonts w:hint="eastAsia" w:hAnsi="宋体"/>
                <w:b/>
                <w:sz w:val="24"/>
                <w:lang w:val="zh-CN"/>
              </w:rPr>
              <w:t>4.1</w:t>
            </w:r>
            <w:r>
              <w:rPr>
                <w:rFonts w:hAnsi="宋体"/>
                <w:b/>
                <w:sz w:val="24"/>
                <w:lang w:val="zh-CN"/>
              </w:rPr>
              <w:t>固体废物处置方式</w:t>
            </w:r>
          </w:p>
          <w:p w14:paraId="5EA57196">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①本项目设置带盖垃圾箱，生活垃圾、食堂隔油池油泥集中收集到带盖垃圾箱内，定期清运至库米什镇就近的生活垃圾收集点，最终由库米什镇环卫部门统一清运处置。</w:t>
            </w:r>
          </w:p>
          <w:p w14:paraId="4A16A4C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②输电</w:t>
            </w:r>
            <w:r>
              <w:rPr>
                <w:rFonts w:hint="eastAsia" w:hAnsi="宋体"/>
                <w:sz w:val="24"/>
              </w:rPr>
              <w:t>线路检修时产生少量检修废弃物，均为一般固废，检修完毕后集中收集随检修人员带回至就近垃圾收集点处理。</w:t>
            </w:r>
          </w:p>
          <w:p w14:paraId="318C796F">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③废磷酸铁锂电池为一般废物，定期由厂家回收处置。</w:t>
            </w:r>
          </w:p>
          <w:p w14:paraId="260DEB24">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fldChar w:fldCharType="begin"/>
            </w:r>
            <w:r>
              <w:rPr>
                <w:rFonts w:hAnsi="宋体"/>
                <w:sz w:val="24"/>
                <w:lang w:val="zh-CN"/>
              </w:rPr>
              <w:instrText xml:space="preserve"> </w:instrText>
            </w:r>
            <w:r>
              <w:rPr>
                <w:rFonts w:hint="eastAsia" w:hAnsi="宋体"/>
                <w:sz w:val="24"/>
                <w:lang w:val="zh-CN"/>
              </w:rPr>
              <w:instrText xml:space="preserve">= 4 \* GB3</w:instrText>
            </w:r>
            <w:r>
              <w:rPr>
                <w:rFonts w:hAnsi="宋体"/>
                <w:sz w:val="24"/>
                <w:lang w:val="zh-CN"/>
              </w:rPr>
              <w:instrText xml:space="preserve"> </w:instrText>
            </w:r>
            <w:r>
              <w:rPr>
                <w:rFonts w:hAnsi="宋体"/>
                <w:sz w:val="24"/>
                <w:lang w:val="zh-CN"/>
              </w:rPr>
              <w:fldChar w:fldCharType="separate"/>
            </w:r>
            <w:r>
              <w:rPr>
                <w:rFonts w:hint="eastAsia" w:hAnsi="宋体"/>
                <w:sz w:val="24"/>
                <w:lang w:val="zh-CN"/>
              </w:rPr>
              <w:t>④</w:t>
            </w:r>
            <w:r>
              <w:rPr>
                <w:rFonts w:hAnsi="宋体"/>
                <w:sz w:val="24"/>
                <w:lang w:val="zh-CN"/>
              </w:rPr>
              <w:fldChar w:fldCharType="end"/>
            </w:r>
            <w:r>
              <w:rPr>
                <w:rFonts w:hint="eastAsia" w:hAnsi="宋体"/>
                <w:sz w:val="24"/>
                <w:lang w:val="zh-CN"/>
              </w:rPr>
              <w:t>本环评要求在升压站的管理区内设置1间危废暂存间，占地面积20m</w:t>
            </w:r>
            <w:r>
              <w:rPr>
                <w:rFonts w:hint="eastAsia" w:hAnsi="宋体"/>
                <w:sz w:val="24"/>
                <w:vertAlign w:val="superscript"/>
                <w:lang w:val="zh-CN"/>
              </w:rPr>
              <w:t>2</w:t>
            </w:r>
            <w:r>
              <w:rPr>
                <w:rFonts w:hint="eastAsia" w:hAnsi="宋体"/>
                <w:sz w:val="24"/>
                <w:lang w:val="zh-CN"/>
              </w:rPr>
              <w:t>，本项目产生的废变压器油、废铅酸蓄电池分别收集到密封容器内，暂存于危废暂存间，最终交给有危险废物处置资质的单位转移处置。</w:t>
            </w:r>
          </w:p>
          <w:p w14:paraId="0BD5AE52">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fldChar w:fldCharType="begin"/>
            </w:r>
            <w:r>
              <w:rPr>
                <w:rFonts w:hAnsi="宋体"/>
                <w:sz w:val="24"/>
                <w:lang w:val="zh-CN"/>
              </w:rPr>
              <w:instrText xml:space="preserve"> </w:instrText>
            </w:r>
            <w:r>
              <w:rPr>
                <w:rFonts w:hint="eastAsia" w:hAnsi="宋体"/>
                <w:sz w:val="24"/>
                <w:lang w:val="zh-CN"/>
              </w:rPr>
              <w:instrText xml:space="preserve">= 5 \* GB3</w:instrText>
            </w:r>
            <w:r>
              <w:rPr>
                <w:rFonts w:hAnsi="宋体"/>
                <w:sz w:val="24"/>
                <w:lang w:val="zh-CN"/>
              </w:rPr>
              <w:instrText xml:space="preserve"> </w:instrText>
            </w:r>
            <w:r>
              <w:rPr>
                <w:rFonts w:hAnsi="宋体"/>
                <w:sz w:val="24"/>
                <w:lang w:val="zh-CN"/>
              </w:rPr>
              <w:fldChar w:fldCharType="separate"/>
            </w:r>
            <w:r>
              <w:rPr>
                <w:rFonts w:hint="eastAsia" w:hAnsi="宋体"/>
                <w:sz w:val="24"/>
                <w:lang w:val="zh-CN"/>
              </w:rPr>
              <w:t>⑤</w:t>
            </w:r>
            <w:r>
              <w:rPr>
                <w:rFonts w:hAnsi="宋体"/>
                <w:sz w:val="24"/>
                <w:lang w:val="zh-CN"/>
              </w:rPr>
              <w:fldChar w:fldCharType="end"/>
            </w:r>
            <w:r>
              <w:rPr>
                <w:rFonts w:hint="eastAsia" w:hAnsi="宋体"/>
                <w:sz w:val="24"/>
                <w:lang w:val="zh-CN"/>
              </w:rPr>
              <w:t>事故油产生后暂存于事故油池中，委托有危险废物处理资质的单位进行规范处置。</w:t>
            </w:r>
          </w:p>
          <w:p w14:paraId="09F12B12">
            <w:pPr>
              <w:keepNext w:val="0"/>
              <w:keepLines w:val="0"/>
              <w:suppressLineNumbers w:val="0"/>
              <w:adjustRightInd w:val="0"/>
              <w:snapToGrid w:val="0"/>
              <w:spacing w:before="0" w:beforeAutospacing="0" w:after="0" w:afterAutospacing="0" w:line="360" w:lineRule="auto"/>
              <w:ind w:left="0" w:right="0"/>
              <w:rPr>
                <w:rFonts w:hAnsi="宋体"/>
                <w:b/>
                <w:sz w:val="24"/>
                <w:lang w:val="zh-CN"/>
              </w:rPr>
            </w:pPr>
            <w:r>
              <w:rPr>
                <w:rFonts w:hint="eastAsia" w:hAnsi="宋体"/>
                <w:b/>
                <w:sz w:val="24"/>
                <w:lang w:val="zh-CN"/>
              </w:rPr>
              <w:t>4.2固体废物管理要求</w:t>
            </w:r>
          </w:p>
          <w:p w14:paraId="790A7F2D">
            <w:pPr>
              <w:keepNext w:val="0"/>
              <w:keepLines w:val="0"/>
              <w:suppressLineNumbers w:val="0"/>
              <w:adjustRightInd w:val="0"/>
              <w:snapToGrid w:val="0"/>
              <w:spacing w:before="0" w:beforeAutospacing="0" w:after="0" w:afterAutospacing="0" w:line="360" w:lineRule="auto"/>
              <w:ind w:left="0" w:right="0"/>
              <w:rPr>
                <w:rFonts w:hAnsi="宋体"/>
                <w:b/>
                <w:sz w:val="24"/>
                <w:lang w:val="zh-CN"/>
              </w:rPr>
            </w:pPr>
            <w:r>
              <w:rPr>
                <w:rFonts w:hint="eastAsia" w:hAnsi="宋体"/>
                <w:b/>
                <w:sz w:val="24"/>
                <w:lang w:val="zh-CN"/>
              </w:rPr>
              <w:t>4.2.</w:t>
            </w:r>
            <w:r>
              <w:rPr>
                <w:rFonts w:hint="eastAsia" w:hAnsi="宋体"/>
                <w:b/>
                <w:sz w:val="24"/>
              </w:rPr>
              <w:t>1</w:t>
            </w:r>
            <w:r>
              <w:rPr>
                <w:rFonts w:hint="eastAsia" w:hAnsi="宋体"/>
                <w:b/>
                <w:sz w:val="24"/>
                <w:lang w:val="zh-CN"/>
              </w:rPr>
              <w:t>危险废物管理要求</w:t>
            </w:r>
          </w:p>
          <w:p w14:paraId="52FF60D9">
            <w:pPr>
              <w:keepNext w:val="0"/>
              <w:keepLines w:val="0"/>
              <w:suppressLineNumbers w:val="0"/>
              <w:adjustRightInd w:val="0"/>
              <w:snapToGrid w:val="0"/>
              <w:spacing w:before="0" w:beforeAutospacing="0" w:after="0" w:afterAutospacing="0" w:line="360" w:lineRule="auto"/>
              <w:ind w:left="0" w:right="0" w:firstLine="482" w:firstLineChars="200"/>
              <w:rPr>
                <w:rFonts w:ascii="宋体" w:hAnsi="宋体"/>
                <w:b/>
                <w:sz w:val="24"/>
                <w:lang w:val="zh-CN"/>
              </w:rPr>
            </w:pPr>
            <w:r>
              <w:rPr>
                <w:rFonts w:hint="eastAsia" w:ascii="宋体" w:hAnsi="宋体"/>
                <w:b/>
                <w:sz w:val="24"/>
                <w:lang w:val="zh-CN"/>
              </w:rPr>
              <w:t>（1）危废暂存间设置要求</w:t>
            </w:r>
          </w:p>
          <w:p w14:paraId="0429290A">
            <w:pPr>
              <w:keepNext w:val="0"/>
              <w:keepLines w:val="0"/>
              <w:suppressLineNumbers w:val="0"/>
              <w:adjustRightInd w:val="0"/>
              <w:snapToGrid w:val="0"/>
              <w:spacing w:before="0" w:beforeAutospacing="0" w:after="0" w:afterAutospacing="0" w:line="360" w:lineRule="auto"/>
              <w:ind w:left="0" w:right="0" w:firstLine="480" w:firstLineChars="200"/>
              <w:rPr>
                <w:sz w:val="24"/>
              </w:rPr>
            </w:pPr>
            <w:r>
              <w:rPr>
                <w:rFonts w:hint="eastAsia" w:ascii="宋体" w:hAnsi="宋体"/>
                <w:sz w:val="24"/>
                <w:lang w:val="zh-CN"/>
              </w:rPr>
              <w:t>根据上述固废处置方式，</w:t>
            </w:r>
            <w:r>
              <w:rPr>
                <w:rFonts w:hint="eastAsia" w:hAnsi="宋体"/>
                <w:sz w:val="24"/>
                <w:lang w:val="zh-CN"/>
              </w:rPr>
              <w:t>本环评要求在升压站的管理区内设置</w:t>
            </w:r>
            <w:r>
              <w:rPr>
                <w:rFonts w:hint="eastAsia"/>
                <w:sz w:val="24"/>
                <w:lang w:val="zh-CN"/>
              </w:rPr>
              <w:t>1</w:t>
            </w:r>
            <w:r>
              <w:rPr>
                <w:rFonts w:hint="eastAsia" w:hAnsi="宋体"/>
                <w:sz w:val="24"/>
                <w:lang w:val="zh-CN"/>
              </w:rPr>
              <w:t>间危废暂存间，占地面积20m</w:t>
            </w:r>
            <w:r>
              <w:rPr>
                <w:rFonts w:hint="eastAsia" w:hAnsi="宋体"/>
                <w:sz w:val="24"/>
                <w:vertAlign w:val="superscript"/>
                <w:lang w:val="zh-CN"/>
              </w:rPr>
              <w:t>2</w:t>
            </w:r>
            <w:r>
              <w:rPr>
                <w:rFonts w:hint="eastAsia" w:ascii="宋体" w:hAnsi="宋体"/>
                <w:sz w:val="24"/>
                <w:lang w:val="zh-CN"/>
              </w:rPr>
              <w:t>，本项目危险废物暂存间内部分为</w:t>
            </w:r>
            <w:r>
              <w:rPr>
                <w:sz w:val="24"/>
              </w:rPr>
              <w:t>2</w:t>
            </w:r>
            <w:r>
              <w:rPr>
                <w:rFonts w:hint="eastAsia" w:ascii="宋体" w:hAnsi="宋体"/>
                <w:sz w:val="24"/>
                <w:lang w:val="zh-CN"/>
              </w:rPr>
              <w:t>个间隔区，分别为</w:t>
            </w:r>
            <w:r>
              <w:rPr>
                <w:sz w:val="24"/>
                <w:lang w:val="zh-CN"/>
              </w:rPr>
              <w:t>1#</w:t>
            </w:r>
            <w:r>
              <w:rPr>
                <w:rFonts w:hint="eastAsia" w:hAnsi="宋体"/>
                <w:sz w:val="24"/>
                <w:lang w:val="zh-CN"/>
              </w:rPr>
              <w:t>废变压器油</w:t>
            </w:r>
            <w:r>
              <w:rPr>
                <w:rFonts w:hint="eastAsia" w:ascii="宋体" w:hAnsi="宋体"/>
                <w:sz w:val="24"/>
                <w:lang w:val="zh-CN"/>
              </w:rPr>
              <w:t>暂存区、</w:t>
            </w:r>
            <w:r>
              <w:rPr>
                <w:rFonts w:hint="eastAsia"/>
                <w:sz w:val="24"/>
                <w:lang w:val="zh-CN"/>
              </w:rPr>
              <w:t>2#</w:t>
            </w:r>
            <w:r>
              <w:rPr>
                <w:rFonts w:hint="eastAsia" w:ascii="宋体" w:hAnsi="宋体"/>
                <w:sz w:val="24"/>
              </w:rPr>
              <w:t>废铅酸蓄电池</w:t>
            </w:r>
            <w:r>
              <w:rPr>
                <w:rFonts w:hint="eastAsia" w:ascii="宋体" w:hAnsi="宋体"/>
                <w:sz w:val="24"/>
                <w:lang w:val="zh-CN"/>
              </w:rPr>
              <w:t>暂存区，各间隔区之间设置防火隔板，本项目各类危险废物分类分区存放。危废暂存间应按照《危险废物贮存污染控制标准》（</w:t>
            </w:r>
            <w:r>
              <w:rPr>
                <w:rFonts w:hint="eastAsia"/>
                <w:sz w:val="24"/>
                <w:lang w:val="zh-CN"/>
              </w:rPr>
              <w:t>GB 18597-2023</w:t>
            </w:r>
            <w:r>
              <w:rPr>
                <w:rFonts w:hint="eastAsia" w:ascii="宋体" w:hAnsi="宋体"/>
                <w:sz w:val="24"/>
                <w:lang w:val="zh-CN"/>
              </w:rPr>
              <w:t>）要求建设和管理，危废暂存间应根据危险废物的形态、物理化学性质、包装形式和污染物迁移途径，采取必要的防风、防晒、防雨、防漏、防渗、防腐以及其他环境污染防治措施，不应露天堆放危险废物。危废暂存间内地面、墙面裙角、堵截泄漏的围堰、隔板和墙体等应采用坚固的材料建造，表面无裂缝。危废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w:t>
            </w:r>
            <w:r>
              <w:rPr>
                <w:rFonts w:hint="eastAsia" w:ascii="宋体" w:hAnsi="宋体"/>
                <w:sz w:val="24"/>
              </w:rPr>
              <w:t>按照《危险废物贮存污染控制标准》（</w:t>
            </w:r>
            <w:r>
              <w:rPr>
                <w:sz w:val="24"/>
                <w:lang w:val="zh-CN"/>
              </w:rPr>
              <w:t>GB18579-2023</w:t>
            </w:r>
            <w:r>
              <w:rPr>
                <w:rFonts w:hint="eastAsia" w:ascii="宋体" w:hAnsi="宋体"/>
                <w:sz w:val="24"/>
              </w:rPr>
              <w:t>）要求，基础必须防渗，防渗层为至少</w:t>
            </w:r>
            <w:r>
              <w:rPr>
                <w:sz w:val="24"/>
                <w:lang w:val="zh-CN"/>
              </w:rPr>
              <w:t>1m</w:t>
            </w:r>
            <w:r>
              <w:rPr>
                <w:rFonts w:hint="eastAsia" w:ascii="宋体" w:hAnsi="宋体"/>
                <w:sz w:val="24"/>
              </w:rPr>
              <w:t>厚黏土层（渗透系数不大于</w:t>
            </w:r>
            <w:r>
              <w:rPr>
                <w:rFonts w:hint="eastAsia"/>
                <w:sz w:val="24"/>
                <w:lang w:val="zh-CN"/>
              </w:rPr>
              <w:t>10</w:t>
            </w:r>
            <w:r>
              <w:rPr>
                <w:rFonts w:hint="eastAsia"/>
                <w:sz w:val="24"/>
                <w:vertAlign w:val="superscript"/>
                <w:lang w:val="zh-CN"/>
              </w:rPr>
              <w:t>-7</w:t>
            </w:r>
            <w:r>
              <w:rPr>
                <w:rFonts w:hint="eastAsia"/>
                <w:sz w:val="24"/>
                <w:lang w:val="zh-CN"/>
              </w:rPr>
              <w:t>cm/s</w:t>
            </w:r>
            <w:r>
              <w:rPr>
                <w:rFonts w:hint="eastAsia" w:ascii="宋体" w:hAnsi="宋体"/>
                <w:sz w:val="24"/>
              </w:rPr>
              <w:t>），或</w:t>
            </w:r>
            <w:r>
              <w:rPr>
                <w:rFonts w:hint="eastAsia"/>
                <w:sz w:val="24"/>
                <w:lang w:val="zh-CN"/>
              </w:rPr>
              <w:t>2mm</w:t>
            </w:r>
            <w:r>
              <w:rPr>
                <w:rFonts w:hint="eastAsia" w:ascii="宋体" w:hAnsi="宋体"/>
                <w:sz w:val="24"/>
              </w:rPr>
              <w:t>厚高密度聚乙烯，或至少</w:t>
            </w:r>
            <w:r>
              <w:rPr>
                <w:rFonts w:hint="eastAsia"/>
                <w:sz w:val="24"/>
                <w:lang w:val="zh-CN"/>
              </w:rPr>
              <w:t>2mm</w:t>
            </w:r>
            <w:r>
              <w:rPr>
                <w:rFonts w:hint="eastAsia" w:ascii="宋体" w:hAnsi="宋体"/>
                <w:sz w:val="24"/>
              </w:rPr>
              <w:t>厚的其他人工材料，渗透系数不大于</w:t>
            </w:r>
            <w:r>
              <w:rPr>
                <w:rFonts w:hint="eastAsia"/>
                <w:sz w:val="24"/>
                <w:lang w:val="zh-CN"/>
              </w:rPr>
              <w:t>10</w:t>
            </w:r>
            <w:r>
              <w:rPr>
                <w:rFonts w:hint="eastAsia"/>
                <w:sz w:val="24"/>
                <w:vertAlign w:val="superscript"/>
                <w:lang w:val="zh-CN"/>
              </w:rPr>
              <w:t>-10</w:t>
            </w:r>
            <w:r>
              <w:rPr>
                <w:rFonts w:hint="eastAsia"/>
                <w:sz w:val="24"/>
                <w:lang w:val="zh-CN"/>
              </w:rPr>
              <w:t>cm/s</w:t>
            </w:r>
            <w:r>
              <w:rPr>
                <w:rFonts w:hint="eastAsia" w:ascii="宋体" w:hAnsi="宋体"/>
                <w:sz w:val="24"/>
              </w:rPr>
              <w:t>。危废暂存间采取高安全等级的防渗措施，基础底部夯实，上面铺装防渗层，同时对防渗层表层加装抗磨的刚性保护层加以保护，</w:t>
            </w:r>
            <w:r>
              <w:rPr>
                <w:rFonts w:hint="eastAsia" w:ascii="宋体" w:hAnsi="宋体"/>
                <w:sz w:val="24"/>
                <w:lang w:val="zh-CN"/>
              </w:rPr>
              <w:t>本项目拟采用基础层</w:t>
            </w:r>
            <w:r>
              <w:rPr>
                <w:rFonts w:hint="eastAsia"/>
                <w:sz w:val="24"/>
                <w:lang w:val="zh-CN"/>
              </w:rPr>
              <w:t>+2mmHDPE</w:t>
            </w:r>
            <w:r>
              <w:rPr>
                <w:rFonts w:hint="eastAsia" w:ascii="宋体" w:hAnsi="宋体"/>
                <w:sz w:val="24"/>
                <w:lang w:val="zh-CN"/>
              </w:rPr>
              <w:t>膜</w:t>
            </w:r>
            <w:r>
              <w:rPr>
                <w:rFonts w:hint="eastAsia"/>
                <w:sz w:val="24"/>
                <w:lang w:val="zh-CN"/>
              </w:rPr>
              <w:t>+P8</w:t>
            </w:r>
            <w:r>
              <w:rPr>
                <w:rFonts w:hint="eastAsia" w:ascii="宋体" w:hAnsi="宋体"/>
                <w:sz w:val="24"/>
                <w:lang w:val="zh-CN"/>
              </w:rPr>
              <w:t>抗渗水泥层+环氧树脂防腐层，等效黏土防渗层厚度</w:t>
            </w:r>
            <w:r>
              <w:rPr>
                <w:rFonts w:hint="eastAsia"/>
                <w:sz w:val="24"/>
                <w:lang w:val="zh-CN"/>
              </w:rPr>
              <w:t>≥6m</w:t>
            </w:r>
            <w:r>
              <w:rPr>
                <w:rFonts w:hint="eastAsia" w:ascii="宋体" w:hAnsi="宋体"/>
                <w:sz w:val="24"/>
                <w:lang w:val="zh-CN"/>
              </w:rPr>
              <w:t>，防渗层的渗透系数</w:t>
            </w:r>
            <w:r>
              <w:rPr>
                <w:rFonts w:hint="eastAsia"/>
                <w:sz w:val="24"/>
                <w:lang w:val="zh-CN"/>
              </w:rPr>
              <w:t>≤1×10</w:t>
            </w:r>
            <w:r>
              <w:rPr>
                <w:rFonts w:hint="eastAsia"/>
                <w:sz w:val="24"/>
                <w:vertAlign w:val="superscript"/>
                <w:lang w:val="zh-CN"/>
              </w:rPr>
              <w:t>-10</w:t>
            </w:r>
            <w:r>
              <w:rPr>
                <w:rFonts w:hint="eastAsia"/>
                <w:sz w:val="24"/>
                <w:lang w:val="zh-CN"/>
              </w:rPr>
              <w:t>cm/s</w:t>
            </w:r>
            <w:r>
              <w:rPr>
                <w:rFonts w:hint="eastAsia" w:ascii="宋体" w:hAnsi="宋体"/>
                <w:sz w:val="24"/>
                <w:lang w:val="zh-CN"/>
              </w:rPr>
              <w:t>，设置导流槽一个，导流槽采用厚度</w:t>
            </w:r>
            <w:r>
              <w:rPr>
                <w:rFonts w:hint="eastAsia"/>
                <w:sz w:val="24"/>
                <w:lang w:val="zh-CN"/>
              </w:rPr>
              <w:t>4.0mm</w:t>
            </w:r>
            <w:r>
              <w:rPr>
                <w:rFonts w:hint="eastAsia" w:ascii="宋体" w:hAnsi="宋体"/>
                <w:sz w:val="24"/>
                <w:lang w:val="zh-CN"/>
              </w:rPr>
              <w:t>热轧钢板整体压制，渗透系数</w:t>
            </w:r>
            <w:r>
              <w:rPr>
                <w:rFonts w:hint="eastAsia"/>
                <w:sz w:val="24"/>
                <w:lang w:val="zh-CN"/>
              </w:rPr>
              <w:t>≤1.0×10</w:t>
            </w:r>
            <w:r>
              <w:rPr>
                <w:rFonts w:hint="eastAsia"/>
                <w:sz w:val="24"/>
                <w:vertAlign w:val="superscript"/>
                <w:lang w:val="zh-CN"/>
              </w:rPr>
              <w:t>-10</w:t>
            </w:r>
            <w:r>
              <w:rPr>
                <w:rFonts w:hint="eastAsia"/>
                <w:sz w:val="24"/>
                <w:lang w:val="zh-CN"/>
              </w:rPr>
              <w:t>cm/s</w:t>
            </w:r>
            <w:r>
              <w:rPr>
                <w:rFonts w:hint="eastAsia" w:ascii="宋体" w:hAnsi="宋体"/>
                <w:sz w:val="24"/>
                <w:lang w:val="zh-CN"/>
              </w:rPr>
              <w:t>，导流槽与地板采用焊机连接，导流槽内设置导流管，并设置节流阀门，本项目危险废物暂存间安装轴流风机、防爆排风系统和防爆开关，防爆排风扇也可在暂存间外部手动开启。防爆开关、防爆排风扇等设备全部进行接地保护。同时应按照《危险废物贮存污染控制标准》（</w:t>
            </w:r>
            <w:r>
              <w:rPr>
                <w:sz w:val="24"/>
                <w:lang w:val="zh-CN"/>
              </w:rPr>
              <w:t>GB 18597-2023</w:t>
            </w:r>
            <w:r>
              <w:rPr>
                <w:rFonts w:hint="eastAsia" w:ascii="宋体" w:hAnsi="宋体"/>
                <w:sz w:val="24"/>
                <w:lang w:val="zh-CN"/>
              </w:rPr>
              <w:t>）要求、《危险废物管理计划和管理台账制定技术导则》（</w:t>
            </w:r>
            <w:r>
              <w:rPr>
                <w:rFonts w:hint="eastAsia"/>
                <w:sz w:val="24"/>
                <w:lang w:val="zh-CN"/>
              </w:rPr>
              <w:t>HJ 1259—2022</w:t>
            </w:r>
            <w:r>
              <w:rPr>
                <w:rFonts w:hint="eastAsia" w:ascii="宋体" w:hAnsi="宋体"/>
                <w:sz w:val="24"/>
                <w:lang w:val="zh-CN"/>
              </w:rPr>
              <w:t>）要求管理。</w:t>
            </w:r>
          </w:p>
          <w:p w14:paraId="20DA95D2">
            <w:pPr>
              <w:keepNext w:val="0"/>
              <w:keepLines w:val="0"/>
              <w:suppressLineNumbers w:val="0"/>
              <w:adjustRightInd w:val="0"/>
              <w:snapToGrid w:val="0"/>
              <w:spacing w:before="0" w:beforeAutospacing="0" w:after="0" w:afterAutospacing="0" w:line="360" w:lineRule="auto"/>
              <w:ind w:left="0" w:right="0" w:firstLine="482" w:firstLineChars="200"/>
              <w:rPr>
                <w:rFonts w:hAnsi="宋体"/>
                <w:b/>
                <w:sz w:val="24"/>
                <w:lang w:val="zh-CN"/>
              </w:rPr>
            </w:pPr>
            <w:r>
              <w:rPr>
                <w:rFonts w:hAnsi="宋体"/>
                <w:b/>
                <w:sz w:val="24"/>
                <w:lang w:val="zh-CN"/>
              </w:rPr>
              <w:t>（</w:t>
            </w:r>
            <w:r>
              <w:rPr>
                <w:rFonts w:hint="eastAsia" w:hAnsi="宋体"/>
                <w:b/>
                <w:sz w:val="24"/>
                <w:lang w:val="zh-CN"/>
              </w:rPr>
              <w:t>2</w:t>
            </w:r>
            <w:r>
              <w:rPr>
                <w:rFonts w:hAnsi="宋体"/>
                <w:b/>
                <w:sz w:val="24"/>
                <w:lang w:val="zh-CN"/>
              </w:rPr>
              <w:t>）</w:t>
            </w:r>
            <w:r>
              <w:rPr>
                <w:rFonts w:hint="eastAsia" w:hAnsi="宋体"/>
                <w:b/>
                <w:sz w:val="24"/>
                <w:lang w:val="zh-CN"/>
              </w:rPr>
              <w:t>日常管理要求</w:t>
            </w:r>
          </w:p>
          <w:p w14:paraId="3D6EB80B">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①须做好危险废物情况的记录，记录上须注明危险废物的名称、来源、数量、特性和包装容器的类别、入库日期、堆放库位、废物出库日期及接收单位名称。</w:t>
            </w:r>
          </w:p>
          <w:p w14:paraId="3DD3AEC6">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②加强危险废物在站内和站外的转运管理，避免危险废物洒落，对洒落的危险废物进行及时清扫，避免二次污染。</w:t>
            </w:r>
          </w:p>
          <w:p w14:paraId="0C80FF69">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③定期对危废暂存间进行检查，发现破损，应及时进行修理。</w:t>
            </w:r>
          </w:p>
          <w:p w14:paraId="74E59663">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④贮存设施或场所、容器和包装物应按《危险废物识别标志设置技术规范》(</w:t>
            </w:r>
            <w:r>
              <w:rPr>
                <w:rFonts w:hint="eastAsia"/>
                <w:sz w:val="24"/>
                <w:lang w:val="zh-CN"/>
              </w:rPr>
              <w:t>HJ 1276—2022</w:t>
            </w:r>
            <w:r>
              <w:rPr>
                <w:rFonts w:hint="eastAsia" w:ascii="宋体" w:hAnsi="宋体"/>
                <w:sz w:val="24"/>
                <w:lang w:val="zh-CN"/>
              </w:rPr>
              <w:t>)要求设置危险废物贮存设施或场所标志、危险废物贮存分区标志和危险废物标签等危险废物识别标志。</w:t>
            </w:r>
          </w:p>
          <w:p w14:paraId="4E9E875C">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⑤加强对危险废物的日常管理，并按照国家有关危险废物管理办法，办理好危险废物的贮存、转移手续。</w:t>
            </w:r>
          </w:p>
          <w:p w14:paraId="6A36419F">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⑥贮存设施所有者或运营者应按照国家有关规定编制突发环境事件应急预案，定期开展必要的培训和环境应急演练，并做好培训、演练记录。</w:t>
            </w:r>
          </w:p>
          <w:p w14:paraId="6F028F6E">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⑦贮存设施所有者或运营者应配备满足其突发环境事件应急要求的应急人员、装备和物资，并应设置应急照明系统。</w:t>
            </w:r>
          </w:p>
          <w:p w14:paraId="695FAF55">
            <w:pPr>
              <w:keepNext w:val="0"/>
              <w:keepLines w:val="0"/>
              <w:suppressLineNumbers w:val="0"/>
              <w:adjustRightInd w:val="0"/>
              <w:snapToGrid w:val="0"/>
              <w:spacing w:before="0" w:beforeAutospacing="0" w:after="0" w:afterAutospacing="0" w:line="360" w:lineRule="auto"/>
              <w:ind w:left="0" w:right="0" w:firstLine="482" w:firstLineChars="200"/>
              <w:rPr>
                <w:rFonts w:ascii="宋体" w:hAnsi="宋体"/>
                <w:b/>
                <w:sz w:val="24"/>
                <w:lang w:val="zh-CN"/>
              </w:rPr>
            </w:pPr>
            <w:r>
              <w:rPr>
                <w:rFonts w:hint="eastAsia" w:ascii="宋体" w:hAnsi="宋体"/>
                <w:b/>
                <w:sz w:val="24"/>
              </w:rPr>
              <w:t>（</w:t>
            </w:r>
            <w:r>
              <w:rPr>
                <w:b/>
                <w:sz w:val="24"/>
              </w:rPr>
              <w:t>3</w:t>
            </w:r>
            <w:r>
              <w:rPr>
                <w:rFonts w:hint="eastAsia" w:ascii="宋体" w:hAnsi="宋体"/>
                <w:b/>
                <w:sz w:val="24"/>
              </w:rPr>
              <w:t>）危险废物的收集</w:t>
            </w:r>
          </w:p>
          <w:p w14:paraId="1ADC93C8">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①</w:t>
            </w:r>
            <w:r>
              <w:rPr>
                <w:rFonts w:hint="eastAsia" w:ascii="宋体" w:hAnsi="宋体"/>
                <w:sz w:val="24"/>
              </w:rPr>
              <w:t>危险废物要根据其成分，用符合国家标准的专门容器分类收集。</w:t>
            </w:r>
          </w:p>
          <w:p w14:paraId="31BCD771">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rPr>
            </w:pPr>
            <w:r>
              <w:rPr>
                <w:rFonts w:hint="eastAsia" w:ascii="宋体" w:hAnsi="宋体"/>
                <w:sz w:val="24"/>
                <w:lang w:val="zh-CN"/>
              </w:rPr>
              <w:t>②</w:t>
            </w:r>
            <w:r>
              <w:rPr>
                <w:rFonts w:hint="eastAsia" w:ascii="宋体" w:hAnsi="宋体"/>
                <w:sz w:val="24"/>
              </w:rPr>
              <w:t>盛装危险废物的容器应根据危险废物的特性而设计，不易破损、变形、老化，能有效地防止渗漏、扩散。装有危险废物的容器必须贴有标签，在标签上详细标明危险废物的名称、重量、成分、特性以及发生泄漏、扩散污染事故时的应急措施和补救方法。</w:t>
            </w:r>
          </w:p>
          <w:p w14:paraId="75C92534">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rPr>
            </w:pPr>
            <w:r>
              <w:rPr>
                <w:rFonts w:hint="eastAsia" w:ascii="宋体" w:hAnsi="宋体"/>
                <w:sz w:val="24"/>
                <w:lang w:val="zh-CN"/>
              </w:rPr>
              <w:t>③</w:t>
            </w:r>
            <w:r>
              <w:rPr>
                <w:rFonts w:hint="eastAsia" w:ascii="宋体" w:hAnsi="宋体"/>
                <w:sz w:val="24"/>
              </w:rPr>
              <w:t>危险废物收集和转运作业人员应根据工作需要配备必要的个人防护装备，如手套、防护镜、防护服、防毒面具或口罩等。</w:t>
            </w:r>
          </w:p>
          <w:p w14:paraId="23CA74DF">
            <w:pPr>
              <w:keepNext w:val="0"/>
              <w:keepLines w:val="0"/>
              <w:suppressLineNumbers w:val="0"/>
              <w:adjustRightInd w:val="0"/>
              <w:snapToGrid w:val="0"/>
              <w:spacing w:before="0" w:beforeAutospacing="0" w:after="0" w:afterAutospacing="0" w:line="360" w:lineRule="auto"/>
              <w:ind w:left="0" w:right="0" w:firstLine="482" w:firstLineChars="200"/>
              <w:rPr>
                <w:rFonts w:ascii="宋体" w:hAnsi="宋体"/>
                <w:b/>
                <w:sz w:val="24"/>
                <w:lang w:val="zh-CN"/>
              </w:rPr>
            </w:pPr>
            <w:r>
              <w:rPr>
                <w:rFonts w:hint="eastAsia" w:ascii="宋体" w:hAnsi="宋体"/>
                <w:b/>
                <w:sz w:val="24"/>
                <w:lang w:val="zh-CN"/>
              </w:rPr>
              <w:t>（</w:t>
            </w:r>
            <w:r>
              <w:rPr>
                <w:rFonts w:hint="eastAsia"/>
                <w:b/>
                <w:sz w:val="24"/>
              </w:rPr>
              <w:t>4</w:t>
            </w:r>
            <w:r>
              <w:rPr>
                <w:rFonts w:hint="eastAsia" w:ascii="宋体" w:hAnsi="宋体"/>
                <w:b/>
                <w:sz w:val="24"/>
                <w:lang w:val="zh-CN"/>
              </w:rPr>
              <w:t>）危险废物贮存要求</w:t>
            </w:r>
          </w:p>
          <w:p w14:paraId="6F52B7CE">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t>①放在容器的同类危险废物可以堆叠存放。</w:t>
            </w:r>
          </w:p>
          <w:p w14:paraId="355D3A9A">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t>②不得将不相容的废物混合或合并存放。</w:t>
            </w:r>
          </w:p>
          <w:p w14:paraId="2AF2D1DF">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t>③危险废物存储设施内清理出来的泄漏物一律按</w:t>
            </w:r>
            <w:r>
              <w:rPr>
                <w:rFonts w:hint="eastAsia" w:hAnsi="宋体"/>
                <w:sz w:val="24"/>
                <w:lang w:val="zh-CN"/>
              </w:rPr>
              <w:t>危险废物</w:t>
            </w:r>
            <w:r>
              <w:rPr>
                <w:rFonts w:hAnsi="宋体"/>
                <w:sz w:val="24"/>
                <w:lang w:val="zh-CN"/>
              </w:rPr>
              <w:t>处理。</w:t>
            </w:r>
          </w:p>
          <w:p w14:paraId="0465A737">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Ansi="宋体"/>
                <w:sz w:val="24"/>
                <w:lang w:val="zh-CN"/>
              </w:rPr>
              <w:t>③禁止将非危废品存放在</w:t>
            </w:r>
            <w:r>
              <w:rPr>
                <w:rFonts w:hint="eastAsia" w:hAnsi="宋体"/>
                <w:sz w:val="24"/>
                <w:lang w:val="zh-CN"/>
              </w:rPr>
              <w:t>危废暂存间</w:t>
            </w:r>
            <w:r>
              <w:rPr>
                <w:rFonts w:hAnsi="宋体"/>
                <w:sz w:val="24"/>
                <w:lang w:val="zh-CN"/>
              </w:rPr>
              <w:t>内。</w:t>
            </w:r>
          </w:p>
          <w:p w14:paraId="632447E0">
            <w:pPr>
              <w:keepNext w:val="0"/>
              <w:keepLines w:val="0"/>
              <w:suppressLineNumbers w:val="0"/>
              <w:adjustRightInd w:val="0"/>
              <w:snapToGrid w:val="0"/>
              <w:spacing w:before="0" w:beforeAutospacing="0" w:after="0" w:afterAutospacing="0" w:line="360" w:lineRule="auto"/>
              <w:ind w:left="0" w:right="0" w:firstLine="480" w:firstLineChars="200"/>
              <w:rPr>
                <w:rFonts w:hAnsi="宋体"/>
                <w:b/>
                <w:sz w:val="24"/>
                <w:lang w:val="zh-CN"/>
              </w:rPr>
            </w:pPr>
            <w:r>
              <w:rPr>
                <w:rFonts w:hAnsi="宋体"/>
                <w:sz w:val="24"/>
                <w:lang w:val="zh-CN"/>
              </w:rPr>
              <w:t>④危险废物暂存不能跨年度暂存。</w:t>
            </w:r>
          </w:p>
          <w:p w14:paraId="72DB953F">
            <w:pPr>
              <w:keepNext w:val="0"/>
              <w:keepLines w:val="0"/>
              <w:suppressLineNumbers w:val="0"/>
              <w:adjustRightInd w:val="0"/>
              <w:snapToGrid w:val="0"/>
              <w:spacing w:before="0" w:beforeAutospacing="0" w:after="0" w:afterAutospacing="0" w:line="360" w:lineRule="auto"/>
              <w:ind w:left="0" w:right="0" w:firstLine="482" w:firstLineChars="200"/>
              <w:rPr>
                <w:rFonts w:hAnsi="宋体"/>
                <w:b/>
                <w:sz w:val="24"/>
                <w:lang w:val="zh-CN"/>
              </w:rPr>
            </w:pPr>
            <w:r>
              <w:rPr>
                <w:rFonts w:hint="eastAsia" w:hAnsi="宋体"/>
                <w:b/>
                <w:sz w:val="24"/>
                <w:lang w:val="zh-CN"/>
              </w:rPr>
              <w:t>（</w:t>
            </w:r>
            <w:r>
              <w:rPr>
                <w:rFonts w:hint="eastAsia"/>
                <w:b/>
                <w:sz w:val="24"/>
              </w:rPr>
              <w:t>5</w:t>
            </w:r>
            <w:r>
              <w:rPr>
                <w:rFonts w:hint="eastAsia" w:hAnsi="宋体"/>
                <w:b/>
                <w:sz w:val="24"/>
                <w:lang w:val="zh-CN"/>
              </w:rPr>
              <w:t>）危险废物管理计划制定要求</w:t>
            </w:r>
          </w:p>
          <w:p w14:paraId="66B0C42E">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sz w:val="24"/>
                <w:lang w:val="zh-CN"/>
              </w:rPr>
            </w:pPr>
            <w:r>
              <w:rPr>
                <w:rFonts w:hint="eastAsia" w:ascii="宋体" w:hAnsi="宋体"/>
                <w:sz w:val="24"/>
                <w:lang w:val="zh-CN"/>
              </w:rPr>
              <w:t>根据《危险废物管理计划和管理台账制定技术导则》（</w:t>
            </w:r>
            <w:r>
              <w:rPr>
                <w:sz w:val="24"/>
                <w:lang w:val="zh-CN"/>
              </w:rPr>
              <w:t>HJ 1259—2022</w:t>
            </w:r>
            <w:r>
              <w:rPr>
                <w:rFonts w:hint="eastAsia" w:ascii="宋体" w:hAnsi="宋体"/>
                <w:sz w:val="24"/>
                <w:lang w:val="zh-CN"/>
              </w:rPr>
              <w:t>）要求，产生危险废物的单位，应当按照《</w:t>
            </w:r>
            <w:r>
              <w:rPr>
                <w:rFonts w:hint="eastAsia"/>
                <w:b/>
                <w:sz w:val="24"/>
              </w:rPr>
              <w:t>危险废物管理计划和管理台账制定技术导则</w:t>
            </w:r>
            <w:r>
              <w:rPr>
                <w:rFonts w:hint="eastAsia" w:ascii="宋体" w:hAnsi="宋体"/>
                <w:sz w:val="24"/>
                <w:lang w:val="zh-CN"/>
              </w:rPr>
              <w:t>》（</w:t>
            </w:r>
            <w:r>
              <w:rPr>
                <w:rFonts w:hint="eastAsia"/>
                <w:sz w:val="24"/>
                <w:lang w:val="zh-CN"/>
              </w:rPr>
              <w:t>HJ 1259—2022</w:t>
            </w:r>
            <w:r>
              <w:rPr>
                <w:rFonts w:hint="eastAsia" w:ascii="宋体" w:hAnsi="宋体"/>
                <w:sz w:val="24"/>
                <w:lang w:val="zh-CN"/>
              </w:rPr>
              <w:t>）</w:t>
            </w:r>
            <w:r>
              <w:rPr>
                <w:rFonts w:hint="eastAsia"/>
                <w:sz w:val="24"/>
                <w:lang w:val="zh-CN"/>
              </w:rPr>
              <w:t>4.3</w:t>
            </w:r>
            <w:r>
              <w:rPr>
                <w:rFonts w:hint="eastAsia" w:ascii="宋体" w:hAnsi="宋体"/>
                <w:sz w:val="24"/>
                <w:lang w:val="zh-CN"/>
              </w:rPr>
              <w:t>规定的分类管理要求，制定危险废物管理计划，内容应当包括减少危险废物产生量和降低危险废物危害性的措施以及危险废物贮存、利用、处置措施；危险废物管理计划制定内容应根据产生危险废物的单位的管理类别确定，危险废物的种类、产生量、流向、贮存、利用、处置等有关资料的申报周期应根据产生危险废物的单位的管理类别确定。同一法人单位或者其他组织所属但位于不同生产经营场所的单位，应当以每个生产经营场所为单位，分别制定危险废物管理计划，并通过国家危险废物信息管理系统向生产经营场所所在地生态环境主管部门备案。产生危险废物的单位应当按年度制定危险废物管理计划。产生危险废物的单位应当于每年</w:t>
            </w:r>
            <w:r>
              <w:rPr>
                <w:rFonts w:hint="eastAsia"/>
                <w:sz w:val="24"/>
                <w:lang w:val="zh-CN"/>
              </w:rPr>
              <w:t>3</w:t>
            </w:r>
            <w:r>
              <w:rPr>
                <w:rFonts w:hint="eastAsia" w:ascii="宋体" w:hAnsi="宋体"/>
                <w:sz w:val="24"/>
                <w:lang w:val="zh-CN"/>
              </w:rPr>
              <w:t>月</w:t>
            </w:r>
            <w:r>
              <w:rPr>
                <w:rFonts w:hint="eastAsia"/>
                <w:sz w:val="24"/>
                <w:lang w:val="zh-CN"/>
              </w:rPr>
              <w:t>31</w:t>
            </w:r>
            <w:r>
              <w:rPr>
                <w:rFonts w:hint="eastAsia" w:ascii="宋体" w:hAnsi="宋体"/>
                <w:sz w:val="24"/>
                <w:lang w:val="zh-CN"/>
              </w:rPr>
              <w:t>日前通过国家危险废物信息管理系统在线填写并提交当年度的危险废物管理计划，由国家危险废物信息管理系统自动生成备案编号和回执，完成备案。危险废物管理计划备案内容需要调整的，产生危险废物的单位应当及时变更。</w:t>
            </w:r>
          </w:p>
          <w:p w14:paraId="75E2945E">
            <w:pPr>
              <w:keepNext w:val="0"/>
              <w:keepLines w:val="0"/>
              <w:suppressLineNumbers w:val="0"/>
              <w:adjustRightInd w:val="0"/>
              <w:snapToGrid w:val="0"/>
              <w:spacing w:before="0" w:beforeAutospacing="0" w:after="0" w:afterAutospacing="0" w:line="360" w:lineRule="auto"/>
              <w:ind w:left="0" w:right="0" w:firstLine="482" w:firstLineChars="200"/>
              <w:rPr>
                <w:rFonts w:hAnsi="宋体"/>
                <w:b/>
                <w:sz w:val="24"/>
                <w:lang w:val="zh-CN"/>
              </w:rPr>
            </w:pPr>
            <w:r>
              <w:rPr>
                <w:rFonts w:hint="eastAsia" w:hAnsi="宋体"/>
                <w:b/>
                <w:sz w:val="24"/>
                <w:lang w:val="zh-CN"/>
              </w:rPr>
              <w:t>（</w:t>
            </w:r>
            <w:r>
              <w:rPr>
                <w:rFonts w:hint="eastAsia" w:hAnsi="宋体"/>
                <w:b/>
                <w:sz w:val="24"/>
              </w:rPr>
              <w:t>6</w:t>
            </w:r>
            <w:r>
              <w:rPr>
                <w:rFonts w:hint="eastAsia" w:hAnsi="宋体"/>
                <w:b/>
                <w:sz w:val="24"/>
                <w:lang w:val="zh-CN"/>
              </w:rPr>
              <w:t>）危险废物管理台账制定要求</w:t>
            </w:r>
          </w:p>
          <w:p w14:paraId="17D81686">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sz w:val="24"/>
                <w:lang w:val="zh-CN"/>
              </w:rPr>
              <w:t>1</w:t>
            </w:r>
            <w:r>
              <w:rPr>
                <w:rFonts w:hint="eastAsia" w:hAnsi="宋体"/>
                <w:sz w:val="24"/>
                <w:lang w:val="zh-CN"/>
              </w:rPr>
              <w:t>）一般原则</w:t>
            </w:r>
          </w:p>
          <w:p w14:paraId="63858D34">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①产生危险废物的单位应建立危险废物管理台账，落实危险废物管理台账记录的责任人，明确工作职责，并对危险废物管理台账的真实性、准确性和完整性负法律责任。</w:t>
            </w:r>
          </w:p>
          <w:p w14:paraId="7C2F5A38">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②产生危险废物的单位应根据危险废物产生、贮存、利用、处置等环节的动态流向，如实建立各环节的危险废物管理台账，记录内容参见《危险废物管理计划和管理台账制定技术导则》（</w:t>
            </w:r>
            <w:r>
              <w:rPr>
                <w:rFonts w:hAnsi="宋体"/>
                <w:sz w:val="24"/>
                <w:lang w:val="zh-CN"/>
              </w:rPr>
              <w:t>HJ 1259—2022</w:t>
            </w:r>
            <w:r>
              <w:rPr>
                <w:rFonts w:hint="eastAsia" w:hAnsi="宋体"/>
                <w:sz w:val="24"/>
                <w:lang w:val="zh-CN"/>
              </w:rPr>
              <w:t>）附录B。</w:t>
            </w:r>
          </w:p>
          <w:p w14:paraId="33D5163A">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③危险废物管理台账分为电子管理台账和纸质管理台账两种形式。产生危险废物的单位可通过国家危险废物信息管理系统、企业自建信息管理系统或第三方平台等方式记录电子管理台账。</w:t>
            </w:r>
          </w:p>
          <w:p w14:paraId="2F4A070C">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2）频次要求</w:t>
            </w:r>
          </w:p>
          <w:p w14:paraId="28FE57E9">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产生后盛放至容器和包装物的，应按每个容器和包装物进行记录；产生后输送至本项目危废暂存间，按日记录；其他特殊情形的，根据危险废物产生规律确定记录频次。</w:t>
            </w:r>
          </w:p>
          <w:p w14:paraId="4780D633">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sz w:val="24"/>
                <w:lang w:val="zh-CN"/>
              </w:rPr>
              <w:t>3</w:t>
            </w:r>
            <w:r>
              <w:rPr>
                <w:rFonts w:hint="eastAsia" w:hAnsi="宋体"/>
                <w:sz w:val="24"/>
                <w:lang w:val="zh-CN"/>
              </w:rPr>
              <w:t>）记录内容</w:t>
            </w:r>
          </w:p>
          <w:p w14:paraId="3CE0035D">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①危险废物产生环节，应记录产生批次编码、产生时间、危险废物名称、危险废物类别、危险废物代码、产生量、计量单位、容器/包装编码、容器/包装类型、容器/包装数量、产生危险废物设施编码、产生部门经办人、去向等。</w:t>
            </w:r>
          </w:p>
          <w:p w14:paraId="397EA511">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②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w:t>
            </w:r>
          </w:p>
          <w:p w14:paraId="69199B23">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③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14:paraId="2999159B">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④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生产批次编码/出库批次编码等。</w:t>
            </w:r>
          </w:p>
          <w:p w14:paraId="4ED113CA">
            <w:pPr>
              <w:keepNext w:val="0"/>
              <w:keepLines w:val="0"/>
              <w:suppressLineNumbers w:val="0"/>
              <w:adjustRightInd w:val="0"/>
              <w:snapToGrid w:val="0"/>
              <w:spacing w:before="0" w:beforeAutospacing="0" w:after="0" w:afterAutospacing="0" w:line="360" w:lineRule="auto"/>
              <w:ind w:left="0" w:right="0" w:firstLine="482" w:firstLineChars="200"/>
              <w:rPr>
                <w:rFonts w:hAnsi="宋体"/>
                <w:b/>
                <w:sz w:val="24"/>
                <w:lang w:val="zh-CN"/>
              </w:rPr>
            </w:pPr>
            <w:r>
              <w:rPr>
                <w:rFonts w:hint="eastAsia" w:hAnsi="宋体"/>
                <w:b/>
                <w:sz w:val="24"/>
                <w:lang w:val="zh-CN"/>
              </w:rPr>
              <w:t>（</w:t>
            </w:r>
            <w:r>
              <w:rPr>
                <w:rFonts w:hint="eastAsia" w:hAnsi="宋体"/>
                <w:b/>
                <w:sz w:val="24"/>
              </w:rPr>
              <w:t>7</w:t>
            </w:r>
            <w:r>
              <w:rPr>
                <w:rFonts w:hint="eastAsia" w:hAnsi="宋体"/>
                <w:b/>
                <w:sz w:val="24"/>
                <w:lang w:val="zh-CN"/>
              </w:rPr>
              <w:t>）危险废物转移要求</w:t>
            </w:r>
          </w:p>
          <w:p w14:paraId="6C82D2DB">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危险废物运输、转移过程严格按照《危险废物收集、贮存、运输技术规范》（HJ2025-2012）及《危险废物转移管理办法》规定执行联单转移制度。</w:t>
            </w:r>
          </w:p>
          <w:p w14:paraId="31EB0F9F">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转移危险废物的，应当执行危险废物转移联单制度，转移危险废物的，应当通过国家危险废物信息管理系统（以下简称信息系统）填写、运行危险废物电子转移联单，并依照国家有关规定公开危险废物转移相关污染环境防治信息。运输危险废物的，应当遵守国家有关危险货物运输管理的规定。未经公安机关批准，危险废物运输车辆不得进入危险货物运输车辆限制通行的区域。</w:t>
            </w:r>
          </w:p>
          <w:p w14:paraId="4FEAAAB1">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危险废物转移联单应当根据危险废物管理计划中填报的危险废物转移等备案信息填写、运行。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移出人每转移一车同类危险废物，应当填写、运行一份危险废物转移联单；每车次转移多类危险废物的，可以填写、运行一份危险废物转移联单，也可以每一类危险废物填写、运行一份危险废物转移联单。使用同一车一次为多个移出人转移危险废物的，每个移出人应当分别填写、运行危险废物转移联单。采用联运方式转移危险废物的，前一承运人和后一承运人应当明确运输交接的时间和地点。后一承运人应当核实危险废物转移联单确定的移出人信息、前一承运人信息及危险废物相关信息。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对不通过车辆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危险废物电子转移联单数据应当在信息系统中至少保存十年。因特殊原因无法运行危险废物电子转移联单的，可以先使用纸质转移联单，并于转移活动完成后十个工作日内在信息系统中补录电子转移联单。</w:t>
            </w:r>
          </w:p>
          <w:p w14:paraId="1EA01796">
            <w:pPr>
              <w:keepNext w:val="0"/>
              <w:keepLines w:val="0"/>
              <w:suppressLineNumbers w:val="0"/>
              <w:adjustRightInd w:val="0"/>
              <w:snapToGrid w:val="0"/>
              <w:spacing w:before="0" w:beforeAutospacing="0" w:after="0" w:afterAutospacing="0" w:line="360" w:lineRule="auto"/>
              <w:ind w:left="0" w:right="0"/>
              <w:rPr>
                <w:rFonts w:hAnsi="宋体"/>
                <w:b/>
                <w:sz w:val="24"/>
                <w:lang w:val="zh-CN"/>
              </w:rPr>
            </w:pPr>
            <w:r>
              <w:rPr>
                <w:rFonts w:hint="eastAsia" w:hAnsi="宋体"/>
                <w:b/>
                <w:sz w:val="24"/>
                <w:lang w:val="zh-CN"/>
              </w:rPr>
              <w:t>4.3危险废物运输过程污染防治措施</w:t>
            </w:r>
          </w:p>
          <w:p w14:paraId="438FF948">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危险废物公路运输应按照《道路危险货物运输管理规定》（</w:t>
            </w:r>
            <w:r>
              <w:rPr>
                <w:rFonts w:hint="eastAsia" w:hAnsi="宋体"/>
                <w:sz w:val="24"/>
              </w:rPr>
              <w:t>中华人民共和国交通运输部令2019年第42号</w:t>
            </w:r>
            <w:r>
              <w:rPr>
                <w:rFonts w:hint="eastAsia" w:hAnsi="宋体"/>
                <w:sz w:val="24"/>
                <w:lang w:val="zh-CN"/>
              </w:rPr>
              <w:t>）执行。</w:t>
            </w:r>
          </w:p>
          <w:p w14:paraId="5C372091">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由于危险废物的运输较其他物品的运输有更大的危险性，因此在运输过程中应小心谨慎，确保安全。转运时应持联单转移危险废物，运输车辆应按（GB13392-2005）的规定悬挂相应标志。运输危险废物的车辆应配备GPS设备，严格遵守交通、消防、治安等法规，并应控制车速，保持与前车的距离，严禁违章超车，确保行车安全。运输车辆应取得危险废物运输经营许可证，并具有对危险废物包装发生破裂、泄漏或其他事故进行处理的能力。运输车辆应有遮阳、控温、防爆、防火、防水等措施。</w:t>
            </w:r>
          </w:p>
          <w:p w14:paraId="284B4EE3">
            <w:pPr>
              <w:keepNext w:val="0"/>
              <w:keepLines w:val="0"/>
              <w:suppressLineNumbers w:val="0"/>
              <w:adjustRightInd w:val="0"/>
              <w:snapToGrid w:val="0"/>
              <w:spacing w:before="0" w:beforeAutospacing="0" w:after="0" w:afterAutospacing="0" w:line="360" w:lineRule="auto"/>
              <w:ind w:left="0" w:right="0"/>
              <w:rPr>
                <w:rFonts w:hAnsi="宋体"/>
                <w:b/>
                <w:sz w:val="24"/>
                <w:lang w:val="zh-CN"/>
              </w:rPr>
            </w:pPr>
            <w:r>
              <w:rPr>
                <w:rFonts w:hint="eastAsia" w:hAnsi="宋体"/>
                <w:b/>
                <w:sz w:val="24"/>
                <w:lang w:val="zh-CN"/>
              </w:rPr>
              <w:t>4.4委托利用或者处置措施</w:t>
            </w:r>
          </w:p>
          <w:p w14:paraId="707AF5A8">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转移危险废物的，应当执行危险废物转移联单制度，建设单位在转移危险废物前须和有危险废物处理资质的单位签订危险废物处置协议，在转移过程中，转移联单始终跟随着危险废物，禁止在转移过程中将其排入环境中，做到对</w:t>
            </w:r>
            <w:r>
              <w:rPr>
                <w:rFonts w:hAnsi="宋体"/>
                <w:sz w:val="24"/>
                <w:lang w:val="zh-CN"/>
              </w:rPr>
              <w:t>危险废物</w:t>
            </w:r>
            <w:r>
              <w:rPr>
                <w:rFonts w:hint="eastAsia" w:hAnsi="宋体"/>
                <w:sz w:val="24"/>
                <w:lang w:val="zh-CN"/>
              </w:rPr>
              <w:t>全过程的严格管理。</w:t>
            </w:r>
          </w:p>
          <w:p w14:paraId="75FB224F">
            <w:pPr>
              <w:keepNext w:val="0"/>
              <w:keepLines w:val="0"/>
              <w:suppressLineNumbers w:val="0"/>
              <w:adjustRightInd w:val="0"/>
              <w:snapToGrid w:val="0"/>
              <w:spacing w:before="0" w:beforeAutospacing="0" w:after="0" w:afterAutospacing="0" w:line="360" w:lineRule="auto"/>
              <w:ind w:left="0" w:right="0" w:firstLine="480" w:firstLineChars="200"/>
              <w:rPr>
                <w:rFonts w:hAnsi="宋体"/>
                <w:b/>
                <w:sz w:val="24"/>
                <w:lang w:val="zh-CN"/>
              </w:rPr>
            </w:pPr>
            <w:r>
              <w:rPr>
                <w:rFonts w:hint="eastAsia" w:hAnsi="宋体"/>
                <w:sz w:val="24"/>
                <w:lang w:val="zh-CN"/>
              </w:rPr>
              <w:t>本项目危险废物委托有资质单位进行处置。委托的资质单位应具有收集、运输、贮存、处理处置及综合利用</w:t>
            </w:r>
            <w:r>
              <w:rPr>
                <w:rFonts w:hint="eastAsia" w:ascii="宋体" w:hAnsi="宋体"/>
                <w:sz w:val="24"/>
                <w:lang w:val="zh-CN"/>
              </w:rPr>
              <w:t>《国家危险废物名录（</w:t>
            </w:r>
            <w:r>
              <w:rPr>
                <w:rFonts w:hint="eastAsia"/>
                <w:sz w:val="24"/>
                <w:lang w:val="zh-CN"/>
              </w:rPr>
              <w:t>2025</w:t>
            </w:r>
            <w:r>
              <w:rPr>
                <w:rFonts w:hint="eastAsia" w:ascii="宋体" w:hAnsi="宋体"/>
                <w:sz w:val="24"/>
                <w:lang w:val="zh-CN"/>
              </w:rPr>
              <w:t>年版）》</w:t>
            </w:r>
            <w:r>
              <w:rPr>
                <w:rFonts w:hint="eastAsia" w:hAnsi="宋体"/>
                <w:sz w:val="24"/>
                <w:lang w:val="zh-CN"/>
              </w:rPr>
              <w:t>的资质。建立台账，产废单位要结合自身的实际情况，与生产记录相衔接，建立危险废物台账，如实记载产生危险废物的种类、数量、流向、贮存、利用处置等信息。</w:t>
            </w:r>
          </w:p>
          <w:p w14:paraId="5265C61A">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采取以上措施后，本项目产生的固体废物均能得到合理处置，不会对环境造成二次污染。</w:t>
            </w:r>
          </w:p>
          <w:p w14:paraId="24E6ECCC">
            <w:pPr>
              <w:pStyle w:val="27"/>
              <w:keepNext w:val="0"/>
              <w:keepLines w:val="0"/>
              <w:suppressLineNumbers w:val="0"/>
              <w:spacing w:before="0" w:beforeAutospacing="0" w:after="0" w:afterAutospacing="0"/>
              <w:ind w:left="0" w:right="0"/>
              <w:jc w:val="center"/>
              <w:rPr>
                <w:rFonts w:ascii="Times New Roman" w:hAnsi="Times New Roman"/>
                <w:b/>
                <w:bCs/>
                <w:color w:val="auto"/>
                <w:sz w:val="21"/>
                <w:szCs w:val="21"/>
              </w:rPr>
            </w:pPr>
            <w:r>
              <w:rPr>
                <w:rFonts w:ascii="Times New Roman" w:hAnsi="Times New Roman"/>
                <w:b/>
                <w:bCs/>
                <w:color w:val="auto"/>
                <w:sz w:val="21"/>
                <w:szCs w:val="21"/>
              </w:rPr>
              <w:t xml:space="preserve">表5-1  </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固体废弃物排放清单</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08"/>
              <w:gridCol w:w="580"/>
              <w:gridCol w:w="1396"/>
              <w:gridCol w:w="456"/>
              <w:gridCol w:w="555"/>
              <w:gridCol w:w="1074"/>
              <w:gridCol w:w="715"/>
              <w:gridCol w:w="1225"/>
              <w:gridCol w:w="1075"/>
            </w:tblGrid>
            <w:tr w14:paraId="7D5FB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7" w:type="pct"/>
                  <w:vAlign w:val="center"/>
                </w:tcPr>
                <w:p w14:paraId="35F4D63E">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名称</w:t>
                  </w:r>
                </w:p>
              </w:tc>
              <w:tc>
                <w:tcPr>
                  <w:tcW w:w="481" w:type="pct"/>
                  <w:vAlign w:val="center"/>
                </w:tcPr>
                <w:p w14:paraId="09FDA691">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产污环节</w:t>
                  </w:r>
                </w:p>
              </w:tc>
              <w:tc>
                <w:tcPr>
                  <w:tcW w:w="346" w:type="pct"/>
                  <w:vAlign w:val="center"/>
                </w:tcPr>
                <w:p w14:paraId="76DFDF76">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属性</w:t>
                  </w:r>
                </w:p>
              </w:tc>
              <w:tc>
                <w:tcPr>
                  <w:tcW w:w="828" w:type="pct"/>
                  <w:vAlign w:val="center"/>
                </w:tcPr>
                <w:p w14:paraId="35739CFD">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有毒有害名称</w:t>
                  </w:r>
                </w:p>
              </w:tc>
              <w:tc>
                <w:tcPr>
                  <w:tcW w:w="273" w:type="pct"/>
                  <w:vAlign w:val="center"/>
                </w:tcPr>
                <w:p w14:paraId="68296120">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物理性状</w:t>
                  </w:r>
                </w:p>
              </w:tc>
              <w:tc>
                <w:tcPr>
                  <w:tcW w:w="328" w:type="pct"/>
                  <w:vAlign w:val="center"/>
                </w:tcPr>
                <w:p w14:paraId="100E364C">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环境危险特性</w:t>
                  </w:r>
                </w:p>
              </w:tc>
              <w:tc>
                <w:tcPr>
                  <w:tcW w:w="634" w:type="pct"/>
                  <w:vAlign w:val="center"/>
                </w:tcPr>
                <w:p w14:paraId="42B8A18B">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产生量t/a</w:t>
                  </w:r>
                </w:p>
              </w:tc>
              <w:tc>
                <w:tcPr>
                  <w:tcW w:w="426" w:type="pct"/>
                  <w:vAlign w:val="center"/>
                </w:tcPr>
                <w:p w14:paraId="50E22AEB">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贮存方式</w:t>
                  </w:r>
                </w:p>
              </w:tc>
              <w:tc>
                <w:tcPr>
                  <w:tcW w:w="727" w:type="pct"/>
                  <w:vAlign w:val="center"/>
                </w:tcPr>
                <w:p w14:paraId="7AD07E00">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利用处置方式及去向</w:t>
                  </w:r>
                </w:p>
              </w:tc>
              <w:tc>
                <w:tcPr>
                  <w:tcW w:w="611" w:type="pct"/>
                  <w:vAlign w:val="center"/>
                </w:tcPr>
                <w:p w14:paraId="1FE2DE6D">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利用及处理量t/a</w:t>
                  </w:r>
                </w:p>
              </w:tc>
            </w:tr>
            <w:tr w14:paraId="7B0EB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7" w:type="pct"/>
                  <w:vAlign w:val="center"/>
                </w:tcPr>
                <w:p w14:paraId="3FC13A6F">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生活垃圾</w:t>
                  </w:r>
                </w:p>
              </w:tc>
              <w:tc>
                <w:tcPr>
                  <w:tcW w:w="481" w:type="pct"/>
                  <w:vAlign w:val="center"/>
                </w:tcPr>
                <w:p w14:paraId="0D59A484">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员工的日常生活垃圾</w:t>
                  </w:r>
                </w:p>
              </w:tc>
              <w:tc>
                <w:tcPr>
                  <w:tcW w:w="346" w:type="pct"/>
                  <w:vAlign w:val="center"/>
                </w:tcPr>
                <w:p w14:paraId="290841A7">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一般固废</w:t>
                  </w:r>
                </w:p>
              </w:tc>
              <w:tc>
                <w:tcPr>
                  <w:tcW w:w="828" w:type="pct"/>
                  <w:vAlign w:val="center"/>
                </w:tcPr>
                <w:p w14:paraId="4B86D6D0">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w:t>
                  </w:r>
                </w:p>
              </w:tc>
              <w:tc>
                <w:tcPr>
                  <w:tcW w:w="273" w:type="pct"/>
                  <w:vAlign w:val="center"/>
                </w:tcPr>
                <w:p w14:paraId="56F42C26">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固体</w:t>
                  </w:r>
                </w:p>
              </w:tc>
              <w:tc>
                <w:tcPr>
                  <w:tcW w:w="328" w:type="pct"/>
                  <w:vAlign w:val="center"/>
                </w:tcPr>
                <w:p w14:paraId="4B8F558D">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w:t>
                  </w:r>
                </w:p>
              </w:tc>
              <w:tc>
                <w:tcPr>
                  <w:tcW w:w="634" w:type="pct"/>
                  <w:vAlign w:val="center"/>
                </w:tcPr>
                <w:p w14:paraId="001C9922">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2.74</w:t>
                  </w:r>
                </w:p>
              </w:tc>
              <w:tc>
                <w:tcPr>
                  <w:tcW w:w="426" w:type="pct"/>
                  <w:vMerge w:val="restart"/>
                  <w:vAlign w:val="center"/>
                </w:tcPr>
                <w:p w14:paraId="63873D42">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集中收集</w:t>
                  </w:r>
                  <w:r>
                    <w:rPr>
                      <w:rFonts w:hint="eastAsia" w:hAnsi="宋体"/>
                      <w:szCs w:val="21"/>
                    </w:rPr>
                    <w:t>到带盖垃圾箱内</w:t>
                  </w:r>
                </w:p>
              </w:tc>
              <w:tc>
                <w:tcPr>
                  <w:tcW w:w="727" w:type="pct"/>
                  <w:vMerge w:val="restart"/>
                  <w:vAlign w:val="center"/>
                </w:tcPr>
                <w:p w14:paraId="51016F9F">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lang w:val="zh-CN"/>
                    </w:rPr>
                    <w:t>定期清运至库米什镇就近的生活垃圾收集点，最终由库米什镇环卫部门统一清运处置</w:t>
                  </w:r>
                </w:p>
              </w:tc>
              <w:tc>
                <w:tcPr>
                  <w:tcW w:w="611" w:type="pct"/>
                  <w:vAlign w:val="center"/>
                </w:tcPr>
                <w:p w14:paraId="752D0B97">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2.74</w:t>
                  </w:r>
                </w:p>
              </w:tc>
            </w:tr>
            <w:tr w14:paraId="474B7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7" w:type="pct"/>
                  <w:vAlign w:val="center"/>
                </w:tcPr>
                <w:p w14:paraId="30F74B3B">
                  <w:pPr>
                    <w:keepNext w:val="0"/>
                    <w:keepLines w:val="0"/>
                    <w:suppressLineNumbers w:val="0"/>
                    <w:adjustRightInd w:val="0"/>
                    <w:snapToGrid w:val="0"/>
                    <w:spacing w:before="0" w:beforeAutospacing="0" w:after="0" w:afterAutospacing="0" w:line="240" w:lineRule="exact"/>
                    <w:ind w:left="0" w:right="0"/>
                    <w:jc w:val="center"/>
                    <w:rPr>
                      <w:rFonts w:hAnsi="宋体"/>
                      <w:szCs w:val="21"/>
                      <w:lang w:val="zh-CN"/>
                    </w:rPr>
                  </w:pPr>
                  <w:r>
                    <w:rPr>
                      <w:rFonts w:hint="eastAsia" w:hAnsi="宋体"/>
                      <w:szCs w:val="21"/>
                      <w:lang w:val="zh-CN"/>
                    </w:rPr>
                    <w:t>食堂</w:t>
                  </w:r>
                  <w:r>
                    <w:rPr>
                      <w:rFonts w:hAnsi="宋体"/>
                      <w:szCs w:val="21"/>
                      <w:lang w:val="zh-CN"/>
                    </w:rPr>
                    <w:t>隔油池油泥</w:t>
                  </w:r>
                </w:p>
                <w:p w14:paraId="102D953B">
                  <w:pPr>
                    <w:keepNext w:val="0"/>
                    <w:keepLines w:val="0"/>
                    <w:widowControl/>
                    <w:suppressLineNumbers w:val="0"/>
                    <w:spacing w:before="0" w:beforeAutospacing="0" w:after="0" w:afterAutospacing="0" w:line="240" w:lineRule="exact"/>
                    <w:ind w:left="0" w:right="0"/>
                    <w:jc w:val="center"/>
                    <w:rPr>
                      <w:rFonts w:hAnsi="宋体"/>
                      <w:szCs w:val="21"/>
                    </w:rPr>
                  </w:pPr>
                </w:p>
              </w:tc>
              <w:tc>
                <w:tcPr>
                  <w:tcW w:w="481" w:type="pct"/>
                  <w:vAlign w:val="center"/>
                </w:tcPr>
                <w:p w14:paraId="344CB786">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餐饮废水隔油沉淀工序</w:t>
                  </w:r>
                </w:p>
              </w:tc>
              <w:tc>
                <w:tcPr>
                  <w:tcW w:w="346" w:type="pct"/>
                  <w:vAlign w:val="center"/>
                </w:tcPr>
                <w:p w14:paraId="2B084AF9">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一般固废</w:t>
                  </w:r>
                </w:p>
              </w:tc>
              <w:tc>
                <w:tcPr>
                  <w:tcW w:w="828" w:type="pct"/>
                  <w:vAlign w:val="center"/>
                </w:tcPr>
                <w:p w14:paraId="3598E57E">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w:t>
                  </w:r>
                </w:p>
              </w:tc>
              <w:tc>
                <w:tcPr>
                  <w:tcW w:w="273" w:type="pct"/>
                  <w:vAlign w:val="center"/>
                </w:tcPr>
                <w:p w14:paraId="190814F0">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固体</w:t>
                  </w:r>
                </w:p>
              </w:tc>
              <w:tc>
                <w:tcPr>
                  <w:tcW w:w="328" w:type="pct"/>
                  <w:vAlign w:val="center"/>
                </w:tcPr>
                <w:p w14:paraId="2710F60A">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w:t>
                  </w:r>
                </w:p>
              </w:tc>
              <w:tc>
                <w:tcPr>
                  <w:tcW w:w="634" w:type="pct"/>
                  <w:vAlign w:val="center"/>
                </w:tcPr>
                <w:p w14:paraId="4E0409C6">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lang w:val="zh-CN"/>
                    </w:rPr>
                    <w:t>0.</w:t>
                  </w:r>
                  <w:r>
                    <w:rPr>
                      <w:rFonts w:hint="eastAsia" w:hAnsi="宋体"/>
                      <w:szCs w:val="21"/>
                      <w:lang w:val="zh-CN"/>
                    </w:rPr>
                    <w:t>02</w:t>
                  </w:r>
                </w:p>
              </w:tc>
              <w:tc>
                <w:tcPr>
                  <w:tcW w:w="426" w:type="pct"/>
                  <w:vMerge w:val="continue"/>
                  <w:vAlign w:val="center"/>
                </w:tcPr>
                <w:p w14:paraId="66367828">
                  <w:pPr>
                    <w:keepNext w:val="0"/>
                    <w:keepLines w:val="0"/>
                    <w:widowControl/>
                    <w:suppressLineNumbers w:val="0"/>
                    <w:spacing w:before="0" w:beforeAutospacing="0" w:after="0" w:afterAutospacing="0" w:line="240" w:lineRule="exact"/>
                    <w:ind w:left="0" w:right="0"/>
                    <w:jc w:val="center"/>
                    <w:rPr>
                      <w:rFonts w:hAnsi="宋体"/>
                      <w:szCs w:val="21"/>
                    </w:rPr>
                  </w:pPr>
                </w:p>
              </w:tc>
              <w:tc>
                <w:tcPr>
                  <w:tcW w:w="727" w:type="pct"/>
                  <w:vMerge w:val="continue"/>
                  <w:vAlign w:val="center"/>
                </w:tcPr>
                <w:p w14:paraId="2DFC27E6">
                  <w:pPr>
                    <w:keepNext w:val="0"/>
                    <w:keepLines w:val="0"/>
                    <w:widowControl/>
                    <w:suppressLineNumbers w:val="0"/>
                    <w:spacing w:before="0" w:beforeAutospacing="0" w:after="0" w:afterAutospacing="0" w:line="240" w:lineRule="exact"/>
                    <w:ind w:left="0" w:right="0"/>
                    <w:jc w:val="center"/>
                    <w:rPr>
                      <w:rFonts w:hAnsi="宋体"/>
                      <w:szCs w:val="21"/>
                    </w:rPr>
                  </w:pPr>
                </w:p>
              </w:tc>
              <w:tc>
                <w:tcPr>
                  <w:tcW w:w="611" w:type="pct"/>
                  <w:vAlign w:val="center"/>
                </w:tcPr>
                <w:p w14:paraId="1C75CD1E">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lang w:val="zh-CN"/>
                    </w:rPr>
                    <w:t>0.</w:t>
                  </w:r>
                  <w:r>
                    <w:rPr>
                      <w:rFonts w:hint="eastAsia" w:hAnsi="宋体"/>
                      <w:szCs w:val="21"/>
                      <w:lang w:val="zh-CN"/>
                    </w:rPr>
                    <w:t>02</w:t>
                  </w:r>
                </w:p>
              </w:tc>
            </w:tr>
            <w:tr w14:paraId="56A65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7" w:type="pct"/>
                  <w:vAlign w:val="center"/>
                </w:tcPr>
                <w:p w14:paraId="3F9900C7">
                  <w:pPr>
                    <w:keepNext w:val="0"/>
                    <w:keepLines w:val="0"/>
                    <w:suppressLineNumbers w:val="0"/>
                    <w:adjustRightInd w:val="0"/>
                    <w:snapToGrid w:val="0"/>
                    <w:spacing w:before="0" w:beforeAutospacing="0" w:after="0" w:afterAutospacing="0" w:line="240" w:lineRule="exact"/>
                    <w:ind w:left="0" w:right="0"/>
                    <w:jc w:val="center"/>
                    <w:rPr>
                      <w:rFonts w:hAnsi="宋体"/>
                      <w:color w:val="000000" w:themeColor="text1"/>
                      <w:szCs w:val="21"/>
                      <w:lang w:val="zh-CN"/>
                    </w:rPr>
                  </w:pPr>
                  <w:r>
                    <w:rPr>
                      <w:rFonts w:hint="eastAsia" w:hAnsi="宋体"/>
                      <w:color w:val="000000" w:themeColor="text1"/>
                      <w:szCs w:val="21"/>
                      <w:lang w:val="zh-CN"/>
                    </w:rPr>
                    <w:t>废磷酸铁锂电池</w:t>
                  </w:r>
                </w:p>
              </w:tc>
              <w:tc>
                <w:tcPr>
                  <w:tcW w:w="481" w:type="pct"/>
                  <w:vAlign w:val="center"/>
                </w:tcPr>
                <w:p w14:paraId="7F92CEFC">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int="eastAsia" w:hAnsi="宋体"/>
                      <w:color w:val="000000" w:themeColor="text1"/>
                      <w:szCs w:val="21"/>
                    </w:rPr>
                    <w:t>储能站</w:t>
                  </w:r>
                </w:p>
              </w:tc>
              <w:tc>
                <w:tcPr>
                  <w:tcW w:w="346" w:type="pct"/>
                  <w:vAlign w:val="center"/>
                </w:tcPr>
                <w:p w14:paraId="35ADC7E7">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int="eastAsia" w:hAnsi="宋体"/>
                      <w:color w:val="000000" w:themeColor="text1"/>
                      <w:szCs w:val="21"/>
                    </w:rPr>
                    <w:t>一般固废</w:t>
                  </w:r>
                </w:p>
              </w:tc>
              <w:tc>
                <w:tcPr>
                  <w:tcW w:w="828" w:type="pct"/>
                  <w:vAlign w:val="center"/>
                </w:tcPr>
                <w:p w14:paraId="2B869682">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Ansi="宋体"/>
                      <w:color w:val="000000" w:themeColor="text1"/>
                      <w:szCs w:val="21"/>
                    </w:rPr>
                    <w:t>/</w:t>
                  </w:r>
                </w:p>
              </w:tc>
              <w:tc>
                <w:tcPr>
                  <w:tcW w:w="273" w:type="pct"/>
                  <w:vAlign w:val="center"/>
                </w:tcPr>
                <w:p w14:paraId="22072F82">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Ansi="宋体"/>
                      <w:color w:val="000000" w:themeColor="text1"/>
                      <w:szCs w:val="21"/>
                    </w:rPr>
                    <w:t>固体</w:t>
                  </w:r>
                </w:p>
              </w:tc>
              <w:tc>
                <w:tcPr>
                  <w:tcW w:w="328" w:type="pct"/>
                  <w:vAlign w:val="center"/>
                </w:tcPr>
                <w:p w14:paraId="4DE3245D">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Ansi="宋体"/>
                      <w:color w:val="000000" w:themeColor="text1"/>
                      <w:szCs w:val="21"/>
                    </w:rPr>
                    <w:t>/</w:t>
                  </w:r>
                </w:p>
              </w:tc>
              <w:tc>
                <w:tcPr>
                  <w:tcW w:w="634" w:type="pct"/>
                  <w:vAlign w:val="center"/>
                </w:tcPr>
                <w:p w14:paraId="764BAAEF">
                  <w:pPr>
                    <w:keepNext w:val="0"/>
                    <w:keepLines w:val="0"/>
                    <w:widowControl/>
                    <w:suppressLineNumbers w:val="0"/>
                    <w:spacing w:before="0" w:beforeAutospacing="0" w:after="0" w:afterAutospacing="0" w:line="240" w:lineRule="exact"/>
                    <w:ind w:left="0" w:right="0"/>
                    <w:jc w:val="center"/>
                    <w:rPr>
                      <w:rFonts w:hAnsi="宋体"/>
                      <w:color w:val="000000" w:themeColor="text1"/>
                      <w:szCs w:val="21"/>
                      <w:lang w:val="zh-CN"/>
                    </w:rPr>
                  </w:pPr>
                  <w:r>
                    <w:rPr>
                      <w:rFonts w:hint="eastAsia" w:hAnsi="宋体"/>
                      <w:color w:val="000000" w:themeColor="text1"/>
                      <w:szCs w:val="21"/>
                      <w:lang w:val="zh-CN"/>
                    </w:rPr>
                    <w:t>1.5t/8-10a</w:t>
                  </w:r>
                </w:p>
              </w:tc>
              <w:tc>
                <w:tcPr>
                  <w:tcW w:w="426" w:type="pct"/>
                  <w:vAlign w:val="center"/>
                </w:tcPr>
                <w:p w14:paraId="3752A3B4">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int="eastAsia" w:hAnsi="宋体"/>
                      <w:color w:val="000000" w:themeColor="text1"/>
                      <w:szCs w:val="21"/>
                    </w:rPr>
                    <w:t>不贮存</w:t>
                  </w:r>
                </w:p>
              </w:tc>
              <w:tc>
                <w:tcPr>
                  <w:tcW w:w="727" w:type="pct"/>
                  <w:vAlign w:val="center"/>
                </w:tcPr>
                <w:p w14:paraId="5E25D797">
                  <w:pPr>
                    <w:keepNext w:val="0"/>
                    <w:keepLines w:val="0"/>
                    <w:widowControl/>
                    <w:suppressLineNumbers w:val="0"/>
                    <w:spacing w:before="0" w:beforeAutospacing="0" w:after="0" w:afterAutospacing="0" w:line="240" w:lineRule="exact"/>
                    <w:ind w:left="0" w:right="0"/>
                    <w:jc w:val="center"/>
                    <w:rPr>
                      <w:rFonts w:hAnsi="宋体"/>
                      <w:color w:val="000000" w:themeColor="text1"/>
                      <w:szCs w:val="21"/>
                    </w:rPr>
                  </w:pPr>
                  <w:r>
                    <w:rPr>
                      <w:rFonts w:hint="eastAsia" w:hAnsi="宋体"/>
                      <w:color w:val="000000" w:themeColor="text1"/>
                      <w:szCs w:val="21"/>
                    </w:rPr>
                    <w:t>厂家更换时直接回收</w:t>
                  </w:r>
                </w:p>
              </w:tc>
              <w:tc>
                <w:tcPr>
                  <w:tcW w:w="611" w:type="pct"/>
                  <w:vAlign w:val="center"/>
                </w:tcPr>
                <w:p w14:paraId="4B520AE8">
                  <w:pPr>
                    <w:keepNext w:val="0"/>
                    <w:keepLines w:val="0"/>
                    <w:widowControl/>
                    <w:suppressLineNumbers w:val="0"/>
                    <w:spacing w:before="0" w:beforeAutospacing="0" w:after="0" w:afterAutospacing="0" w:line="240" w:lineRule="exact"/>
                    <w:ind w:left="0" w:right="0"/>
                    <w:jc w:val="center"/>
                    <w:rPr>
                      <w:rFonts w:hAnsi="宋体"/>
                      <w:color w:val="000000" w:themeColor="text1"/>
                      <w:szCs w:val="21"/>
                      <w:lang w:val="zh-CN"/>
                    </w:rPr>
                  </w:pPr>
                  <w:r>
                    <w:rPr>
                      <w:rFonts w:hint="eastAsia" w:hAnsi="宋体"/>
                      <w:color w:val="000000" w:themeColor="text1"/>
                      <w:szCs w:val="21"/>
                      <w:lang w:val="zh-CN"/>
                    </w:rPr>
                    <w:t>1.5t/8-10a</w:t>
                  </w:r>
                </w:p>
              </w:tc>
            </w:tr>
            <w:tr w14:paraId="30576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7" w:type="pct"/>
                  <w:vAlign w:val="center"/>
                </w:tcPr>
                <w:p w14:paraId="1B145FD5">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lang w:val="zh-CN"/>
                    </w:rPr>
                    <w:t>废变压器油</w:t>
                  </w:r>
                </w:p>
              </w:tc>
              <w:tc>
                <w:tcPr>
                  <w:tcW w:w="481" w:type="pct"/>
                  <w:vAlign w:val="center"/>
                </w:tcPr>
                <w:p w14:paraId="5AB715BA">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lang w:val="zh-CN"/>
                    </w:rPr>
                    <w:t>检修及事故情况下才会产生油污染</w:t>
                  </w:r>
                </w:p>
              </w:tc>
              <w:tc>
                <w:tcPr>
                  <w:tcW w:w="346" w:type="pct"/>
                  <w:vAlign w:val="center"/>
                </w:tcPr>
                <w:p w14:paraId="11C8BF3B">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危险废物</w:t>
                  </w:r>
                </w:p>
              </w:tc>
              <w:tc>
                <w:tcPr>
                  <w:tcW w:w="828" w:type="pct"/>
                  <w:vAlign w:val="center"/>
                </w:tcPr>
                <w:p w14:paraId="592613ED">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lang w:val="zh-CN"/>
                    </w:rPr>
                    <w:t>HW08 废矿物油与含矿物油废物，</w:t>
                  </w:r>
                  <w:r>
                    <w:rPr>
                      <w:rFonts w:hAnsi="宋体"/>
                      <w:szCs w:val="21"/>
                    </w:rPr>
                    <w:t>危废代码</w:t>
                  </w:r>
                  <w:r>
                    <w:rPr>
                      <w:rFonts w:hint="eastAsia" w:hAnsi="宋体"/>
                      <w:szCs w:val="21"/>
                      <w:lang w:val="zh-CN"/>
                    </w:rPr>
                    <w:t>900-220-08</w:t>
                  </w:r>
                </w:p>
              </w:tc>
              <w:tc>
                <w:tcPr>
                  <w:tcW w:w="273" w:type="pct"/>
                  <w:vAlign w:val="center"/>
                </w:tcPr>
                <w:p w14:paraId="695A91C8">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液体</w:t>
                  </w:r>
                </w:p>
              </w:tc>
              <w:tc>
                <w:tcPr>
                  <w:tcW w:w="328" w:type="pct"/>
                  <w:vAlign w:val="center"/>
                </w:tcPr>
                <w:p w14:paraId="3FC489C2">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bCs/>
                      <w:szCs w:val="21"/>
                    </w:rPr>
                    <w:t>T，I</w:t>
                  </w:r>
                </w:p>
              </w:tc>
              <w:tc>
                <w:tcPr>
                  <w:tcW w:w="634" w:type="pct"/>
                  <w:vAlign w:val="center"/>
                </w:tcPr>
                <w:p w14:paraId="561C9122">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bCs/>
                      <w:szCs w:val="21"/>
                    </w:rPr>
                    <w:t>主变事故情况下废变压器油产生量视事故情况待定</w:t>
                  </w:r>
                </w:p>
              </w:tc>
              <w:tc>
                <w:tcPr>
                  <w:tcW w:w="426" w:type="pct"/>
                  <w:vMerge w:val="restart"/>
                  <w:vAlign w:val="center"/>
                </w:tcPr>
                <w:p w14:paraId="03F23A12">
                  <w:pPr>
                    <w:keepNext w:val="0"/>
                    <w:keepLines w:val="0"/>
                    <w:suppressLineNumbers w:val="0"/>
                    <w:spacing w:before="0" w:beforeAutospacing="0" w:after="0" w:afterAutospacing="0" w:line="240" w:lineRule="exact"/>
                    <w:ind w:left="0" w:right="0"/>
                    <w:jc w:val="center"/>
                    <w:rPr>
                      <w:rFonts w:hAnsi="宋体"/>
                      <w:szCs w:val="21"/>
                    </w:rPr>
                  </w:pPr>
                  <w:r>
                    <w:rPr>
                      <w:rFonts w:hint="eastAsia" w:hAnsi="宋体"/>
                      <w:szCs w:val="21"/>
                      <w:lang w:val="zh-CN"/>
                    </w:rPr>
                    <w:t>收集到密封容器内，暂存于危废暂存间</w:t>
                  </w:r>
                </w:p>
              </w:tc>
              <w:tc>
                <w:tcPr>
                  <w:tcW w:w="727" w:type="pct"/>
                  <w:vMerge w:val="restart"/>
                  <w:vAlign w:val="center"/>
                </w:tcPr>
                <w:p w14:paraId="00D82400">
                  <w:pPr>
                    <w:keepNext w:val="0"/>
                    <w:keepLines w:val="0"/>
                    <w:suppressLineNumbers w:val="0"/>
                    <w:spacing w:before="0" w:beforeAutospacing="0" w:after="0" w:afterAutospacing="0" w:line="240" w:lineRule="exact"/>
                    <w:ind w:left="0" w:right="0"/>
                    <w:jc w:val="center"/>
                    <w:rPr>
                      <w:rFonts w:hAnsi="宋体"/>
                      <w:szCs w:val="21"/>
                    </w:rPr>
                  </w:pPr>
                  <w:r>
                    <w:rPr>
                      <w:rFonts w:hint="eastAsia" w:hAnsi="宋体"/>
                      <w:szCs w:val="21"/>
                      <w:lang w:val="zh-CN"/>
                    </w:rPr>
                    <w:t>最终交给有危险废物处置资质的单位转移处置，未破损的废铅蓄电池在运输环节，运输工具满足防雨、防渗漏、防遗撒要求后，可不按危险废物进行运输</w:t>
                  </w:r>
                </w:p>
              </w:tc>
              <w:tc>
                <w:tcPr>
                  <w:tcW w:w="611" w:type="pct"/>
                  <w:vAlign w:val="center"/>
                </w:tcPr>
                <w:p w14:paraId="7BD5565D">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bCs/>
                      <w:szCs w:val="21"/>
                    </w:rPr>
                    <w:t>主变事故情况下废变压器油产生量视事故情况待定</w:t>
                  </w:r>
                </w:p>
              </w:tc>
            </w:tr>
            <w:tr w14:paraId="54D92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7" w:type="pct"/>
                  <w:vAlign w:val="center"/>
                </w:tcPr>
                <w:p w14:paraId="60E81CBA">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lang w:val="zh-CN"/>
                    </w:rPr>
                    <w:t>废铅蓄电池</w:t>
                  </w:r>
                </w:p>
              </w:tc>
              <w:tc>
                <w:tcPr>
                  <w:tcW w:w="481" w:type="pct"/>
                  <w:vAlign w:val="center"/>
                </w:tcPr>
                <w:p w14:paraId="5B4671AC">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bCs/>
                      <w:szCs w:val="21"/>
                    </w:rPr>
                    <w:t>直流系统电池更换</w:t>
                  </w:r>
                </w:p>
              </w:tc>
              <w:tc>
                <w:tcPr>
                  <w:tcW w:w="346" w:type="pct"/>
                  <w:vAlign w:val="center"/>
                </w:tcPr>
                <w:p w14:paraId="2B153C87">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危险废物</w:t>
                  </w:r>
                </w:p>
              </w:tc>
              <w:tc>
                <w:tcPr>
                  <w:tcW w:w="828" w:type="pct"/>
                  <w:vAlign w:val="center"/>
                </w:tcPr>
                <w:p w14:paraId="5A6B651C">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HW</w:t>
                  </w:r>
                  <w:r>
                    <w:rPr>
                      <w:rFonts w:hint="eastAsia" w:hAnsi="宋体"/>
                      <w:szCs w:val="21"/>
                    </w:rPr>
                    <w:t>31含铅废物</w:t>
                  </w:r>
                  <w:r>
                    <w:rPr>
                      <w:rFonts w:hAnsi="宋体"/>
                      <w:szCs w:val="21"/>
                    </w:rPr>
                    <w:t>，危废代码</w:t>
                  </w:r>
                  <w:r>
                    <w:rPr>
                      <w:rFonts w:hint="eastAsia" w:hAnsi="宋体"/>
                      <w:szCs w:val="21"/>
                      <w:lang w:val="zh-CN"/>
                    </w:rPr>
                    <w:t>900-052-31</w:t>
                  </w:r>
                </w:p>
              </w:tc>
              <w:tc>
                <w:tcPr>
                  <w:tcW w:w="273" w:type="pct"/>
                  <w:vAlign w:val="center"/>
                </w:tcPr>
                <w:p w14:paraId="50004A0C">
                  <w:pPr>
                    <w:keepNext w:val="0"/>
                    <w:keepLines w:val="0"/>
                    <w:widowControl/>
                    <w:suppressLineNumbers w:val="0"/>
                    <w:spacing w:before="0" w:beforeAutospacing="0" w:after="0" w:afterAutospacing="0" w:line="240" w:lineRule="exact"/>
                    <w:ind w:left="0" w:right="0"/>
                    <w:jc w:val="center"/>
                    <w:rPr>
                      <w:rFonts w:hAnsi="宋体"/>
                      <w:szCs w:val="21"/>
                    </w:rPr>
                  </w:pPr>
                  <w:r>
                    <w:rPr>
                      <w:rFonts w:hAnsi="宋体"/>
                      <w:szCs w:val="21"/>
                    </w:rPr>
                    <w:t>固体</w:t>
                  </w:r>
                </w:p>
              </w:tc>
              <w:tc>
                <w:tcPr>
                  <w:tcW w:w="328" w:type="pct"/>
                  <w:vAlign w:val="center"/>
                </w:tcPr>
                <w:p w14:paraId="1D35EE93">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pacing w:val="-5"/>
                      <w:szCs w:val="21"/>
                    </w:rPr>
                    <w:t>T、C</w:t>
                  </w:r>
                </w:p>
              </w:tc>
              <w:tc>
                <w:tcPr>
                  <w:tcW w:w="634" w:type="pct"/>
                  <w:vAlign w:val="center"/>
                </w:tcPr>
                <w:p w14:paraId="07F3286A">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0.2</w:t>
                  </w:r>
                  <w:r>
                    <w:rPr>
                      <w:rFonts w:hAnsi="宋体"/>
                      <w:szCs w:val="21"/>
                    </w:rPr>
                    <w:t>t/5a</w:t>
                  </w:r>
                </w:p>
              </w:tc>
              <w:tc>
                <w:tcPr>
                  <w:tcW w:w="426" w:type="pct"/>
                  <w:vMerge w:val="continue"/>
                  <w:vAlign w:val="center"/>
                </w:tcPr>
                <w:p w14:paraId="4E9E7CF2">
                  <w:pPr>
                    <w:keepNext w:val="0"/>
                    <w:keepLines w:val="0"/>
                    <w:widowControl/>
                    <w:suppressLineNumbers w:val="0"/>
                    <w:spacing w:before="0" w:beforeAutospacing="0" w:after="0" w:afterAutospacing="0" w:line="240" w:lineRule="exact"/>
                    <w:ind w:left="0" w:right="0"/>
                    <w:jc w:val="center"/>
                    <w:rPr>
                      <w:rFonts w:hAnsi="宋体"/>
                      <w:szCs w:val="21"/>
                    </w:rPr>
                  </w:pPr>
                </w:p>
              </w:tc>
              <w:tc>
                <w:tcPr>
                  <w:tcW w:w="727" w:type="pct"/>
                  <w:vMerge w:val="continue"/>
                  <w:vAlign w:val="center"/>
                </w:tcPr>
                <w:p w14:paraId="1EA4B39B">
                  <w:pPr>
                    <w:keepNext w:val="0"/>
                    <w:keepLines w:val="0"/>
                    <w:widowControl/>
                    <w:suppressLineNumbers w:val="0"/>
                    <w:spacing w:before="0" w:beforeAutospacing="0" w:after="0" w:afterAutospacing="0" w:line="240" w:lineRule="exact"/>
                    <w:ind w:left="0" w:right="0"/>
                    <w:jc w:val="center"/>
                    <w:rPr>
                      <w:rFonts w:hAnsi="宋体"/>
                      <w:szCs w:val="21"/>
                    </w:rPr>
                  </w:pPr>
                </w:p>
              </w:tc>
              <w:tc>
                <w:tcPr>
                  <w:tcW w:w="611" w:type="pct"/>
                  <w:vAlign w:val="center"/>
                </w:tcPr>
                <w:p w14:paraId="6B7596D2">
                  <w:pPr>
                    <w:keepNext w:val="0"/>
                    <w:keepLines w:val="0"/>
                    <w:widowControl/>
                    <w:suppressLineNumbers w:val="0"/>
                    <w:spacing w:before="0" w:beforeAutospacing="0" w:after="0" w:afterAutospacing="0" w:line="240" w:lineRule="exact"/>
                    <w:ind w:left="0" w:right="0"/>
                    <w:jc w:val="center"/>
                    <w:rPr>
                      <w:rFonts w:hAnsi="宋体"/>
                      <w:szCs w:val="21"/>
                    </w:rPr>
                  </w:pPr>
                  <w:r>
                    <w:rPr>
                      <w:rFonts w:hint="eastAsia" w:hAnsi="宋体"/>
                      <w:szCs w:val="21"/>
                    </w:rPr>
                    <w:t>0.2</w:t>
                  </w:r>
                  <w:r>
                    <w:rPr>
                      <w:rFonts w:hAnsi="宋体"/>
                      <w:szCs w:val="21"/>
                    </w:rPr>
                    <w:t>t/5a</w:t>
                  </w:r>
                </w:p>
              </w:tc>
            </w:tr>
          </w:tbl>
          <w:p w14:paraId="25B96438">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textAlignment w:val="auto"/>
              <w:rPr>
                <w:rFonts w:hAnsi="宋体"/>
                <w:b/>
                <w:bCs/>
                <w:sz w:val="24"/>
                <w:lang w:bidi="en-US"/>
              </w:rPr>
            </w:pPr>
            <w:r>
              <w:rPr>
                <w:rFonts w:hAnsi="宋体"/>
                <w:b/>
                <w:bCs/>
                <w:sz w:val="24"/>
                <w:lang w:bidi="en-US"/>
              </w:rPr>
              <w:t>5</w:t>
            </w:r>
            <w:r>
              <w:rPr>
                <w:rFonts w:hint="eastAsia" w:hAnsi="宋体"/>
                <w:b/>
                <w:bCs/>
                <w:sz w:val="24"/>
                <w:lang w:bidi="en-US"/>
              </w:rPr>
              <w:t>、生态保护措施</w:t>
            </w:r>
          </w:p>
          <w:p w14:paraId="33EC4BD4">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在项目运营期间，要坚持利用与管护相结合的原则，经常检查，保证环保措施发挥应有效应。</w:t>
            </w:r>
          </w:p>
          <w:p w14:paraId="6DCF1D2D">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①完善施工期未实施到位的生态保护措施及水土保持的工程措施。确保项目建设区内新增植被覆盖率和成活率。</w:t>
            </w:r>
          </w:p>
          <w:p w14:paraId="69741B5E">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rPr>
              <w:t xml:space="preserve">②输变电工程运行维护阶段应优化运行检修方案、规范运行维护活动、减少人为扰动，加强对沿线植被等防控措施和设施的定期巡检和维护。 </w:t>
            </w:r>
          </w:p>
          <w:p w14:paraId="12711CDB">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rPr>
            </w:pPr>
            <w:r>
              <w:rPr>
                <w:rFonts w:hint="eastAsia" w:hAnsi="宋体"/>
                <w:sz w:val="24"/>
              </w:rPr>
              <w:t>③巡检人员运行期针对巡查检修可能造成的植被损伤和生态扰动，宜采用无人机巡检技术，通过空中飞行检测，分辨和判断可能存在的故障。</w:t>
            </w:r>
          </w:p>
          <w:p w14:paraId="0F4B2D2F">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rPr>
              <w:t>④防火、禁猎，保护光伏电场周边植被，保护动物的生存环境。</w:t>
            </w:r>
          </w:p>
          <w:p w14:paraId="48D40B40">
            <w:pPr>
              <w:keepNext w:val="0"/>
              <w:keepLines w:val="0"/>
              <w:suppressLineNumbers w:val="0"/>
              <w:adjustRightInd w:val="0"/>
              <w:snapToGrid w:val="0"/>
              <w:spacing w:before="0" w:beforeAutospacing="0" w:after="0" w:afterAutospacing="0" w:line="360" w:lineRule="auto"/>
              <w:ind w:left="0" w:right="0" w:firstLine="480" w:firstLineChars="200"/>
              <w:rPr>
                <w:rFonts w:hAnsi="宋体"/>
                <w:sz w:val="24"/>
                <w:lang w:val="zh-CN"/>
              </w:rPr>
            </w:pPr>
            <w:r>
              <w:rPr>
                <w:rFonts w:hint="eastAsia" w:hAnsi="宋体"/>
                <w:sz w:val="24"/>
                <w:lang w:val="zh-CN"/>
              </w:rPr>
              <w:t>综上所述，本项目竣工后，建设单位按照上述措施进行生态恢复，项目对周围生态环境的影响是可以接受的。</w:t>
            </w:r>
          </w:p>
          <w:p w14:paraId="31E57ECD">
            <w:pPr>
              <w:keepNext w:val="0"/>
              <w:keepLines w:val="0"/>
              <w:suppressLineNumbers w:val="0"/>
              <w:snapToGrid w:val="0"/>
              <w:spacing w:before="0" w:beforeAutospacing="0" w:after="0" w:afterAutospacing="0" w:line="360" w:lineRule="auto"/>
              <w:ind w:left="0" w:right="0"/>
              <w:rPr>
                <w:rFonts w:hAnsi="宋体"/>
                <w:sz w:val="24"/>
                <w:lang w:bidi="en-US"/>
              </w:rPr>
            </w:pPr>
            <w:r>
              <w:rPr>
                <w:rFonts w:hint="eastAsia" w:hAnsi="宋体"/>
                <w:b/>
                <w:bCs/>
                <w:sz w:val="24"/>
                <w:lang w:bidi="en-US"/>
              </w:rPr>
              <w:t>6、</w:t>
            </w:r>
            <w:r>
              <w:rPr>
                <w:rFonts w:hAnsi="宋体"/>
                <w:b/>
                <w:bCs/>
                <w:sz w:val="24"/>
                <w:lang w:bidi="en-US"/>
              </w:rPr>
              <w:t>环境风险防范措施及应急要求</w:t>
            </w:r>
          </w:p>
          <w:p w14:paraId="4786CDF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（1）防范措施</w:t>
            </w:r>
          </w:p>
          <w:p w14:paraId="70926FF2">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①禁止猛烈敲击，防止产生火花。</w:t>
            </w:r>
            <w:r>
              <w:rPr>
                <w:rFonts w:hAnsi="宋体"/>
                <w:sz w:val="24"/>
              </w:rPr>
              <w:t>设备检修时，先</w:t>
            </w:r>
            <w:r>
              <w:rPr>
                <w:rFonts w:hint="eastAsia" w:hAnsi="宋体"/>
                <w:sz w:val="24"/>
              </w:rPr>
              <w:t>做</w:t>
            </w:r>
            <w:r>
              <w:rPr>
                <w:rFonts w:hAnsi="宋体"/>
                <w:sz w:val="24"/>
              </w:rPr>
              <w:t>置换并分析合格，且有效切断</w:t>
            </w:r>
            <w:r>
              <w:rPr>
                <w:rFonts w:hint="eastAsia" w:hAnsi="宋体"/>
                <w:sz w:val="24"/>
              </w:rPr>
              <w:t>电源后才开始检修。升压站内配置灭火器及消防沙箱、消防桶和消防铲等消防工具。</w:t>
            </w:r>
          </w:p>
          <w:p w14:paraId="0AAFAC70">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严格管理，人为因素往往是事故发生的主要原因，因此严格管理是预防事故发生的重要环节。主要内容包括：加强对职工的思想教育，以提高工作人员的责任心和工作主动性；操作人员要进行岗位系统培训，熟悉工作程序、规程、加强岗位责任制。</w:t>
            </w:r>
          </w:p>
          <w:p w14:paraId="0E00EF63">
            <w:pPr>
              <w:keepNext w:val="0"/>
              <w:keepLines w:val="0"/>
              <w:suppressLineNumbers w:val="0"/>
              <w:snapToGrid w:val="0"/>
              <w:spacing w:before="0" w:beforeAutospacing="0" w:after="0" w:afterAutospacing="0" w:line="360" w:lineRule="auto"/>
              <w:ind w:left="0" w:right="0" w:firstLine="480" w:firstLineChars="200"/>
            </w:pPr>
            <w:r>
              <w:rPr>
                <w:rFonts w:hint="eastAsia" w:hAnsi="宋体"/>
                <w:sz w:val="24"/>
              </w:rPr>
              <w:t>③在</w:t>
            </w:r>
            <w:r>
              <w:rPr>
                <w:rFonts w:hint="eastAsia" w:hAnsi="宋体"/>
                <w:sz w:val="24"/>
                <w:lang w:val="zh-CN"/>
              </w:rPr>
              <w:t>主变底部设地下钢筋混凝土贮油坑，设计容积</w:t>
            </w:r>
            <w:r>
              <w:rPr>
                <w:rFonts w:hint="eastAsia" w:hAnsi="宋体"/>
                <w:sz w:val="24"/>
              </w:rPr>
              <w:t>15</w:t>
            </w:r>
            <w:r>
              <w:rPr>
                <w:rFonts w:hint="eastAsia" w:hAnsi="宋体"/>
                <w:sz w:val="24"/>
                <w:lang w:val="zh-CN"/>
              </w:rPr>
              <w:t>m</w:t>
            </w:r>
            <w:r>
              <w:rPr>
                <w:rFonts w:hint="eastAsia" w:hAnsi="宋体"/>
                <w:sz w:val="24"/>
                <w:vertAlign w:val="superscript"/>
                <w:lang w:val="zh-CN"/>
              </w:rPr>
              <w:t>3</w:t>
            </w:r>
            <w:r>
              <w:rPr>
                <w:rFonts w:hint="eastAsia" w:hAnsi="宋体"/>
                <w:sz w:val="24"/>
                <w:lang w:val="zh-CN"/>
              </w:rPr>
              <w:t>，大于主变油量的20%，贮油坑四周设挡油坎，高出地面100mm。坑内铺设卵石，坑底设有排油管，能将事故油排至事故油池中。本项目设计在升压站内建设事故油池1座(容积</w:t>
            </w:r>
            <w:r>
              <w:rPr>
                <w:rFonts w:hint="eastAsia" w:hAnsi="宋体"/>
                <w:sz w:val="24"/>
              </w:rPr>
              <w:t>70</w:t>
            </w:r>
            <w:r>
              <w:rPr>
                <w:rFonts w:hint="eastAsia" w:hAnsi="宋体"/>
                <w:sz w:val="24"/>
                <w:lang w:val="zh-CN"/>
              </w:rPr>
              <w:t>m</w:t>
            </w:r>
            <w:r>
              <w:rPr>
                <w:rFonts w:hint="eastAsia" w:hAnsi="宋体"/>
                <w:sz w:val="24"/>
                <w:vertAlign w:val="superscript"/>
                <w:lang w:val="zh-CN"/>
              </w:rPr>
              <w:t>3</w:t>
            </w:r>
            <w:r>
              <w:rPr>
                <w:rFonts w:hint="eastAsia" w:hAnsi="宋体"/>
                <w:sz w:val="24"/>
                <w:lang w:val="zh-CN"/>
              </w:rPr>
              <w:t>)，可使变压器在发生事故时，壳体内的油经过铸铁管排入事故油池，防止变压器油随意乱排造成对环境的污染。本项目单台变压器油重约</w:t>
            </w:r>
            <w:r>
              <w:rPr>
                <w:rFonts w:hint="eastAsia" w:hAnsi="宋体"/>
                <w:sz w:val="24"/>
              </w:rPr>
              <w:t>57</w:t>
            </w:r>
            <w:r>
              <w:rPr>
                <w:rFonts w:hint="eastAsia" w:hAnsi="宋体"/>
                <w:sz w:val="24"/>
                <w:lang w:val="zh-CN"/>
              </w:rPr>
              <w:t>t(约</w:t>
            </w:r>
            <w:r>
              <w:rPr>
                <w:rFonts w:hint="eastAsia" w:hAnsi="宋体"/>
                <w:sz w:val="24"/>
              </w:rPr>
              <w:t>63.7</w:t>
            </w:r>
            <w:r>
              <w:rPr>
                <w:rFonts w:hint="eastAsia" w:hAnsi="宋体"/>
                <w:sz w:val="24"/>
                <w:lang w:val="zh-CN"/>
              </w:rPr>
              <w:t>m</w:t>
            </w:r>
            <w:r>
              <w:rPr>
                <w:rFonts w:hint="eastAsia" w:hAnsi="宋体"/>
                <w:sz w:val="24"/>
                <w:vertAlign w:val="superscript"/>
                <w:lang w:val="zh-CN"/>
              </w:rPr>
              <w:t>3</w:t>
            </w:r>
            <w:r>
              <w:rPr>
                <w:rFonts w:hint="eastAsia" w:hAnsi="宋体"/>
                <w:sz w:val="24"/>
                <w:lang w:val="zh-CN"/>
              </w:rPr>
              <w:t>)，事故油池容积</w:t>
            </w:r>
            <w:r>
              <w:rPr>
                <w:rFonts w:hint="eastAsia" w:hAnsi="宋体"/>
                <w:sz w:val="24"/>
              </w:rPr>
              <w:t>70</w:t>
            </w:r>
            <w:r>
              <w:rPr>
                <w:rFonts w:hint="eastAsia" w:hAnsi="宋体"/>
                <w:sz w:val="24"/>
                <w:lang w:val="zh-CN"/>
              </w:rPr>
              <w:t>m</w:t>
            </w:r>
            <w:r>
              <w:rPr>
                <w:rFonts w:hint="eastAsia" w:hAnsi="宋体"/>
                <w:sz w:val="24"/>
                <w:vertAlign w:val="superscript"/>
                <w:lang w:val="zh-CN"/>
              </w:rPr>
              <w:t>3</w:t>
            </w:r>
            <w:r>
              <w:rPr>
                <w:rFonts w:hint="eastAsia" w:hAnsi="宋体"/>
                <w:sz w:val="24"/>
                <w:lang w:val="zh-CN"/>
              </w:rPr>
              <w:t>，满足最大单台变压器100%排油量要求。本项目的变压器下的储油坑及事故油池建设</w:t>
            </w:r>
            <w:r>
              <w:rPr>
                <w:rFonts w:hint="eastAsia" w:hAnsi="宋体"/>
                <w:sz w:val="24"/>
              </w:rPr>
              <w:t>事故油池基础必须防渗，要求严格按照《危险废物贮存污染控制标准》(GB18597-2023)进行设计、施工。</w:t>
            </w:r>
          </w:p>
          <w:p w14:paraId="423D97A4">
            <w:pPr>
              <w:keepNext w:val="0"/>
              <w:keepLines w:val="0"/>
              <w:suppressLineNumbers w:val="0"/>
              <w:snapToGrid w:val="0"/>
              <w:spacing w:before="0" w:beforeAutospacing="0" w:after="0" w:afterAutospacing="0" w:line="360" w:lineRule="auto"/>
              <w:ind w:left="0" w:right="0" w:firstLine="480" w:firstLineChars="200"/>
              <w:rPr>
                <w:rFonts w:ascii="宋体" w:hAnsi="宋体"/>
                <w:sz w:val="24"/>
              </w:rPr>
            </w:pPr>
            <w:r>
              <w:rPr>
                <w:rFonts w:hint="eastAsia" w:hAnsi="宋体"/>
                <w:sz w:val="24"/>
              </w:rPr>
              <w:t>④在可能发生油品泄漏的部位设置监控探头，站区的出入口、边界及安防监控中心设视频监控系统，视频安防监控系统应对监控区域内的人员和机动车的出入、活动情况及治安秩序进行24h视频监控并录像，以便设备出现故障时能够及时发现和解决，确保不发生突发环境污染事件</w:t>
            </w:r>
            <w:r>
              <w:rPr>
                <w:rFonts w:hint="eastAsia" w:ascii="宋体" w:hAnsi="宋体"/>
                <w:sz w:val="24"/>
              </w:rPr>
              <w:t>。</w:t>
            </w:r>
          </w:p>
          <w:p w14:paraId="6CA72D67">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（2）应急方案</w:t>
            </w:r>
          </w:p>
          <w:p w14:paraId="768685E0">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①应急救援组织。建设单位应成立应急救援指挥领导小组。负责制定事故应急预案、检查督促事故预防措施及应急救援的准备工作。</w:t>
            </w:r>
          </w:p>
          <w:p w14:paraId="3CE8367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②对于正在发生的大小事故，应有紧急应对措施。对于正在发生的事故，及时与消防、环保等有关部门联系，应设有抢险工具，并保有消防部门联络电话，对于相应的抢险工具，材料应放在指定地点。</w:t>
            </w:r>
          </w:p>
          <w:p w14:paraId="2CC49DE0">
            <w:pPr>
              <w:keepNext w:val="0"/>
              <w:keepLines w:val="0"/>
              <w:suppressLineNumbers w:val="0"/>
              <w:adjustRightInd w:val="0"/>
              <w:snapToGrid w:val="0"/>
              <w:spacing w:before="0" w:beforeAutospacing="0" w:after="0" w:afterAutospacing="0" w:line="360" w:lineRule="auto"/>
              <w:ind w:left="0" w:right="0"/>
              <w:rPr>
                <w:rFonts w:hAnsi="宋体"/>
                <w:b/>
                <w:bCs/>
                <w:sz w:val="24"/>
                <w:lang w:val="zh-CN"/>
              </w:rPr>
            </w:pPr>
            <w:r>
              <w:rPr>
                <w:rFonts w:hint="eastAsia" w:hAnsi="宋体"/>
                <w:b/>
                <w:bCs/>
                <w:sz w:val="24"/>
                <w:lang w:val="zh-CN"/>
              </w:rPr>
              <w:t>7、电磁影响分析保护措施</w:t>
            </w:r>
          </w:p>
          <w:p w14:paraId="2B856BD6">
            <w:pPr>
              <w:keepNext w:val="0"/>
              <w:keepLines w:val="0"/>
              <w:suppressLineNumbers w:val="0"/>
              <w:snapToGrid w:val="0"/>
              <w:spacing w:before="0" w:beforeAutospacing="0" w:after="0" w:afterAutospacing="0" w:line="360" w:lineRule="auto"/>
              <w:ind w:left="0" w:right="0" w:firstLine="480" w:firstLineChars="200"/>
            </w:pPr>
            <w:r>
              <w:rPr>
                <w:rFonts w:hint="eastAsia" w:hAnsi="宋体"/>
                <w:sz w:val="24"/>
              </w:rPr>
              <w:t>本项目建成运行后对评价范围内的</w:t>
            </w:r>
            <w:r>
              <w:rPr>
                <w:rFonts w:hint="eastAsia" w:ascii="宋体" w:hAnsi="宋体"/>
                <w:sz w:val="24"/>
              </w:rPr>
              <w:t>工频电场强度、工频磁场强度</w:t>
            </w:r>
            <w:r>
              <w:rPr>
                <w:rFonts w:hint="eastAsia" w:hAnsi="宋体"/>
                <w:sz w:val="24"/>
              </w:rPr>
              <w:t>环境影响值能满足《电磁环境控制限值》(GB8702-2014)控制限值要求，项目对周边的电磁环境影响较小。电磁环境影响分析详见“附录 电磁环境影响专题评价”。</w:t>
            </w:r>
          </w:p>
        </w:tc>
      </w:tr>
      <w:tr w14:paraId="4BB25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26" w:type="dxa"/>
            <w:vAlign w:val="center"/>
          </w:tcPr>
          <w:p w14:paraId="520E3E7B">
            <w:pPr>
              <w:keepNext w:val="0"/>
              <w:keepLines w:val="0"/>
              <w:suppressLineNumbers w:val="0"/>
              <w:adjustRightInd w:val="0"/>
              <w:snapToGrid w:val="0"/>
              <w:spacing w:before="0" w:beforeAutospacing="0" w:after="0" w:afterAutospacing="0"/>
              <w:ind w:left="0" w:right="0"/>
              <w:jc w:val="center"/>
              <w:rPr>
                <w:rFonts w:hAnsi="宋体"/>
                <w:bCs/>
                <w:color w:val="FF0000"/>
                <w:spacing w:val="10"/>
                <w:szCs w:val="21"/>
                <w:highlight w:val="yellow"/>
              </w:rPr>
            </w:pPr>
            <w:r>
              <w:rPr>
                <w:rFonts w:hAnsi="宋体"/>
                <w:bCs/>
                <w:sz w:val="24"/>
              </w:rPr>
              <w:t>其他</w:t>
            </w:r>
          </w:p>
        </w:tc>
        <w:tc>
          <w:tcPr>
            <w:tcW w:w="8439" w:type="dxa"/>
            <w:vAlign w:val="center"/>
          </w:tcPr>
          <w:p w14:paraId="0081B9E4">
            <w:pPr>
              <w:pStyle w:val="20"/>
              <w:keepNext w:val="0"/>
              <w:keepLines w:val="0"/>
              <w:suppressLineNumbers w:val="0"/>
              <w:adjustRightInd w:val="0"/>
              <w:spacing w:before="0" w:beforeAutospacing="0" w:after="0" w:afterAutospacing="0" w:line="360" w:lineRule="auto"/>
              <w:ind w:left="0" w:right="0" w:firstLine="0" w:firstLineChars="0"/>
              <w:rPr>
                <w:rFonts w:ascii="宋体" w:hAnsi="宋体"/>
                <w:b/>
                <w:lang w:eastAsia="zh-CN"/>
              </w:rPr>
            </w:pPr>
            <w:r>
              <w:rPr>
                <w:rFonts w:hint="eastAsia" w:ascii="宋体" w:hAnsi="宋体"/>
                <w:b/>
                <w:lang w:eastAsia="zh-CN"/>
              </w:rPr>
              <w:t>1、</w:t>
            </w:r>
            <w:r>
              <w:rPr>
                <w:rFonts w:ascii="宋体" w:hAnsi="宋体"/>
                <w:b/>
                <w:lang w:eastAsia="zh-CN"/>
              </w:rPr>
              <w:t>施工期环境管理</w:t>
            </w:r>
          </w:p>
          <w:p w14:paraId="78C6476F">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Ansi="宋体"/>
                <w:sz w:val="24"/>
              </w:rPr>
              <w:t>为有效地控制本项目施工期间的环境污染，项目在建设施工阶段，建设单位应组织开展环境保护宣传、教育和培训工作，组织实施工程的环境保护行动计划，接受生态环境管理部门的监督和指导。建设</w:t>
            </w:r>
            <w:r>
              <w:rPr>
                <w:rFonts w:hint="eastAsia" w:hAnsi="宋体"/>
                <w:sz w:val="24"/>
              </w:rPr>
              <w:t>单位</w:t>
            </w:r>
            <w:r>
              <w:rPr>
                <w:rFonts w:hAnsi="宋体"/>
                <w:sz w:val="24"/>
              </w:rPr>
              <w:t>配备专职环保管理人员，专门负责施工</w:t>
            </w:r>
            <w:r>
              <w:rPr>
                <w:rFonts w:hint="eastAsia" w:hAnsi="宋体"/>
                <w:sz w:val="24"/>
              </w:rPr>
              <w:t>期间</w:t>
            </w:r>
            <w:r>
              <w:rPr>
                <w:rFonts w:hAnsi="宋体"/>
                <w:sz w:val="24"/>
              </w:rPr>
              <w:t>的环境管理和监督。</w:t>
            </w:r>
            <w:r>
              <w:rPr>
                <w:rFonts w:hint="eastAsia" w:hAnsi="宋体"/>
                <w:sz w:val="24"/>
                <w:lang w:bidi="en-US"/>
              </w:rPr>
              <w:t>施工期对防渗工程要有施工质检报告，</w:t>
            </w:r>
            <w:r>
              <w:rPr>
                <w:rFonts w:hAnsi="宋体"/>
                <w:sz w:val="24"/>
              </w:rPr>
              <w:t>对防渗工程在施工中应</w:t>
            </w:r>
            <w:r>
              <w:rPr>
                <w:rFonts w:hint="eastAsia" w:hAnsi="宋体"/>
                <w:sz w:val="24"/>
              </w:rPr>
              <w:t>做</w:t>
            </w:r>
            <w:r>
              <w:rPr>
                <w:rFonts w:hAnsi="宋体"/>
                <w:sz w:val="24"/>
              </w:rPr>
              <w:t>详细记录，</w:t>
            </w:r>
            <w:r>
              <w:rPr>
                <w:rFonts w:hint="eastAsia" w:hAnsi="宋体"/>
                <w:sz w:val="24"/>
              </w:rPr>
              <w:t>监理做好照片、影像资料的收集，记录施工过程。</w:t>
            </w:r>
            <w:r>
              <w:rPr>
                <w:rFonts w:hAnsi="宋体"/>
                <w:sz w:val="24"/>
              </w:rPr>
              <w:t>防渗工程完工后，建设单位</w:t>
            </w:r>
            <w:r>
              <w:rPr>
                <w:rFonts w:hint="eastAsia" w:hAnsi="宋体"/>
                <w:sz w:val="24"/>
              </w:rPr>
              <w:t>应</w:t>
            </w:r>
            <w:r>
              <w:rPr>
                <w:rFonts w:hAnsi="宋体"/>
                <w:sz w:val="24"/>
              </w:rPr>
              <w:t>组织质检部门、设计单位、工程监理单位、施工单位等进行阶段性工程质量验收，并留下工程质量验收资料和施工期对应的</w:t>
            </w:r>
            <w:r>
              <w:rPr>
                <w:rFonts w:hint="eastAsia" w:hAnsi="宋体"/>
                <w:sz w:val="24"/>
              </w:rPr>
              <w:t>监理</w:t>
            </w:r>
            <w:r>
              <w:rPr>
                <w:rFonts w:hAnsi="宋体"/>
                <w:sz w:val="24"/>
              </w:rPr>
              <w:t>影像资料</w:t>
            </w:r>
            <w:r>
              <w:rPr>
                <w:rFonts w:hint="eastAsia" w:hAnsi="宋体"/>
                <w:sz w:val="24"/>
              </w:rPr>
              <w:t>，</w:t>
            </w:r>
            <w:r>
              <w:rPr>
                <w:rFonts w:hAnsi="宋体"/>
                <w:sz w:val="24"/>
              </w:rPr>
              <w:t>工程验收合格后方能开展下一阶段的施工。对不合格的施工项目责令施工单位返工</w:t>
            </w:r>
            <w:r>
              <w:rPr>
                <w:rFonts w:hint="eastAsia" w:hAnsi="宋体"/>
                <w:sz w:val="24"/>
              </w:rPr>
              <w:t>，确保在发生事故时要能保证满足防渗效果。</w:t>
            </w:r>
            <w:r>
              <w:rPr>
                <w:rFonts w:hAnsi="宋体"/>
                <w:sz w:val="24"/>
              </w:rPr>
              <w:t>环境监理</w:t>
            </w:r>
            <w:r>
              <w:rPr>
                <w:rFonts w:hint="eastAsia" w:hAnsi="宋体"/>
                <w:sz w:val="24"/>
              </w:rPr>
              <w:t>报告等相关资料</w:t>
            </w:r>
            <w:r>
              <w:rPr>
                <w:rFonts w:hAnsi="宋体"/>
                <w:sz w:val="24"/>
              </w:rPr>
              <w:t>和工程质量验收资料要作为本项目建成后竣工环境保护验收的技术支撑材料</w:t>
            </w:r>
            <w:r>
              <w:rPr>
                <w:rFonts w:hint="eastAsia" w:hAnsi="宋体"/>
                <w:sz w:val="24"/>
              </w:rPr>
              <w:t>。</w:t>
            </w:r>
          </w:p>
          <w:p w14:paraId="65B3A1CC">
            <w:pPr>
              <w:keepNext w:val="0"/>
              <w:keepLines w:val="0"/>
              <w:suppressLineNumbers w:val="0"/>
              <w:snapToGrid w:val="0"/>
              <w:spacing w:before="0" w:beforeAutospacing="0" w:after="0" w:afterAutospacing="0" w:line="360" w:lineRule="auto"/>
              <w:ind w:left="0" w:right="0"/>
              <w:rPr>
                <w:rFonts w:hAnsi="宋体"/>
                <w:b/>
                <w:bCs/>
                <w:sz w:val="24"/>
                <w:lang w:bidi="en-US"/>
              </w:rPr>
            </w:pPr>
            <w:r>
              <w:rPr>
                <w:rFonts w:hint="eastAsia" w:hAnsi="宋体"/>
                <w:b/>
                <w:bCs/>
                <w:sz w:val="24"/>
                <w:lang w:bidi="en-US"/>
              </w:rPr>
              <w:t>2、</w:t>
            </w:r>
            <w:r>
              <w:rPr>
                <w:rFonts w:hAnsi="宋体"/>
                <w:b/>
                <w:bCs/>
                <w:sz w:val="24"/>
                <w:lang w:bidi="en-US"/>
              </w:rPr>
              <w:t>运营期环境管理</w:t>
            </w:r>
          </w:p>
          <w:p w14:paraId="3546C4FA">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（1）环境管理制度</w:t>
            </w:r>
          </w:p>
          <w:p w14:paraId="3BA558D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建设单位必须重视环境保护工作，应制定一系列规章制度以促进环境保护工作。制定环境保护职责管理条例、固废的管理与处置制度、环保教育制度等相关环境管理制度。</w:t>
            </w:r>
          </w:p>
          <w:p w14:paraId="3F45D452">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（2）环境管理机构设置与职责</w:t>
            </w:r>
          </w:p>
          <w:p w14:paraId="68C2A40F">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Ansi="宋体"/>
                <w:sz w:val="24"/>
              </w:rPr>
              <w:t>设环保管理人员1人。主要工作职责如下：</w:t>
            </w:r>
          </w:p>
          <w:p w14:paraId="10244653">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①制定和实施各项环境管理计划。严格执行建设项目“三同时”制度。</w:t>
            </w:r>
          </w:p>
          <w:p w14:paraId="0F19F0EF">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②不定期地巡查主变等破损情况，保护生态环境不被破坏，保证生态保护与工程运行相协调。</w:t>
            </w:r>
          </w:p>
          <w:p w14:paraId="117FBF60">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③协调配合当地生态环境管理部门的日常监督检查，如发现不满足相关环保要求采取措施减少不良影响，直至满足相关环保要求。</w:t>
            </w:r>
          </w:p>
          <w:p w14:paraId="1C785BDB">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④检查治理设施运行情况，及时处理出现的问题，保证治理设施的正常运行。</w:t>
            </w:r>
          </w:p>
          <w:p w14:paraId="54A98269">
            <w:pPr>
              <w:keepNext w:val="0"/>
              <w:keepLines w:val="0"/>
              <w:suppressLineNumbers w:val="0"/>
              <w:snapToGrid w:val="0"/>
              <w:spacing w:before="0" w:beforeAutospacing="0" w:after="0" w:afterAutospacing="0" w:line="360" w:lineRule="auto"/>
              <w:ind w:left="0" w:right="0"/>
              <w:rPr>
                <w:rFonts w:hAnsi="宋体"/>
                <w:b/>
                <w:bCs/>
                <w:sz w:val="24"/>
                <w:lang w:bidi="en-US"/>
              </w:rPr>
            </w:pPr>
            <w:r>
              <w:rPr>
                <w:rFonts w:hint="eastAsia" w:hAnsi="宋体"/>
                <w:b/>
                <w:bCs/>
                <w:sz w:val="24"/>
                <w:lang w:bidi="en-US"/>
              </w:rPr>
              <w:t>3、环境监测计划</w:t>
            </w:r>
          </w:p>
          <w:p w14:paraId="65885B03">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本项目的电磁环境、声环境监测工作可委托具有相应资质的单位完成。</w:t>
            </w:r>
          </w:p>
          <w:p w14:paraId="7791E893">
            <w:pPr>
              <w:keepNext w:val="0"/>
              <w:keepLines w:val="0"/>
              <w:widowControl/>
              <w:suppressLineNumbers w:val="0"/>
              <w:spacing w:before="0" w:beforeAutospacing="0" w:after="0" w:afterAutospacing="0"/>
              <w:ind w:left="0" w:right="0"/>
              <w:jc w:val="left"/>
              <w:rPr>
                <w:rFonts w:ascii="宋体" w:hAnsi="宋体" w:cs="宋体"/>
                <w:sz w:val="24"/>
              </w:rPr>
            </w:pPr>
            <w:r>
              <w:rPr>
                <w:rFonts w:hint="default" w:ascii="Times New Roman" w:hAnsi="Times New Roman" w:cs="Times New Roman"/>
                <w:b/>
                <w:bCs/>
                <w:color w:val="000000"/>
                <w:kern w:val="0"/>
                <w:sz w:val="24"/>
              </w:rPr>
              <w:t>3.1</w:t>
            </w:r>
            <w:r>
              <w:rPr>
                <w:rFonts w:hint="eastAsia" w:ascii="宋体" w:hAnsi="宋体" w:cs="宋体"/>
                <w:b/>
                <w:bCs/>
                <w:color w:val="000000"/>
                <w:kern w:val="0"/>
                <w:sz w:val="24"/>
              </w:rPr>
              <w:t xml:space="preserve"> 监测计划 </w:t>
            </w:r>
          </w:p>
          <w:p w14:paraId="14A0BC47">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根据本工程的环境影响要求，制定环境监测计划，以监督有关的环保措施 </w:t>
            </w:r>
          </w:p>
          <w:p w14:paraId="4170CB99">
            <w:pPr>
              <w:keepNext w:val="0"/>
              <w:keepLines w:val="0"/>
              <w:widowControl/>
              <w:suppressLineNumbers w:val="0"/>
              <w:spacing w:before="0" w:beforeAutospacing="0" w:after="0" w:afterAutospacing="0" w:line="360" w:lineRule="auto"/>
              <w:ind w:left="0" w:right="0"/>
              <w:jc w:val="left"/>
              <w:rPr>
                <w:rFonts w:ascii="宋体" w:hAnsi="宋体" w:cs="宋体"/>
                <w:color w:val="000000"/>
                <w:kern w:val="0"/>
                <w:sz w:val="24"/>
              </w:rPr>
            </w:pPr>
            <w:r>
              <w:rPr>
                <w:rFonts w:hint="eastAsia" w:ascii="宋体" w:hAnsi="宋体" w:cs="宋体"/>
                <w:color w:val="000000"/>
                <w:kern w:val="0"/>
                <w:sz w:val="24"/>
              </w:rPr>
              <w:t>能够得到落实，具体监测计划见表</w:t>
            </w:r>
            <w:r>
              <w:rPr>
                <w:rFonts w:hint="eastAsia"/>
                <w:sz w:val="24"/>
                <w:lang w:val="zh-CN"/>
              </w:rPr>
              <w:t>5-2</w:t>
            </w:r>
            <w:r>
              <w:rPr>
                <w:rFonts w:hint="eastAsia" w:ascii="宋体" w:hAnsi="宋体" w:cs="宋体"/>
                <w:color w:val="000000"/>
                <w:kern w:val="0"/>
                <w:sz w:val="24"/>
              </w:rPr>
              <w:t>。</w:t>
            </w:r>
          </w:p>
          <w:p w14:paraId="1004B2EF">
            <w:pPr>
              <w:keepNext w:val="0"/>
              <w:keepLines w:val="0"/>
              <w:widowControl/>
              <w:suppressLineNumbers w:val="0"/>
              <w:spacing w:before="0" w:beforeAutospacing="0" w:after="0" w:afterAutospacing="0" w:line="360" w:lineRule="auto"/>
              <w:ind w:left="0" w:right="0"/>
              <w:jc w:val="center"/>
              <w:rPr>
                <w:rFonts w:ascii="宋体" w:hAnsi="宋体" w:cs="宋体"/>
                <w:color w:val="000000"/>
                <w:kern w:val="0"/>
                <w:sz w:val="21"/>
                <w:szCs w:val="21"/>
              </w:rPr>
            </w:pPr>
            <w:r>
              <w:rPr>
                <w:rFonts w:hint="eastAsia" w:ascii="宋体" w:hAnsi="宋体" w:cs="宋体"/>
                <w:b/>
                <w:bCs/>
                <w:color w:val="000000"/>
                <w:kern w:val="0"/>
                <w:sz w:val="21"/>
                <w:szCs w:val="21"/>
              </w:rPr>
              <w:t xml:space="preserve">表 </w:t>
            </w:r>
            <w:r>
              <w:rPr>
                <w:b/>
                <w:bCs/>
                <w:color w:val="000000"/>
                <w:kern w:val="0"/>
                <w:sz w:val="21"/>
                <w:szCs w:val="21"/>
              </w:rPr>
              <w:t>5-2</w:t>
            </w:r>
            <w:r>
              <w:rPr>
                <w:rFonts w:hint="eastAsia"/>
                <w:b/>
                <w:bCs/>
                <w:color w:val="000000"/>
                <w:kern w:val="0"/>
                <w:sz w:val="21"/>
                <w:szCs w:val="21"/>
                <w:lang w:val="en-US" w:eastAsia="zh-CN"/>
              </w:rPr>
              <w:t xml:space="preserve"> </w:t>
            </w:r>
            <w:r>
              <w:rPr>
                <w:rFonts w:hint="eastAsia" w:ascii="宋体" w:hAnsi="宋体" w:cs="宋体"/>
                <w:b/>
                <w:bCs/>
                <w:color w:val="000000"/>
                <w:kern w:val="0"/>
                <w:sz w:val="21"/>
                <w:szCs w:val="21"/>
              </w:rPr>
              <w:t xml:space="preserve">  环境监测计划表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226"/>
              <w:gridCol w:w="3337"/>
              <w:gridCol w:w="3364"/>
            </w:tblGrid>
            <w:tr w14:paraId="40C4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14:paraId="60C161EA">
                  <w:pPr>
                    <w:keepNext w:val="0"/>
                    <w:keepLines w:val="0"/>
                    <w:suppressLineNumbers w:val="0"/>
                    <w:spacing w:before="0" w:beforeAutospacing="0" w:after="0" w:afterAutospacing="0"/>
                    <w:ind w:left="0" w:right="0"/>
                    <w:jc w:val="center"/>
                    <w:rPr>
                      <w:szCs w:val="21"/>
                    </w:rPr>
                  </w:pPr>
                  <w:r>
                    <w:rPr>
                      <w:szCs w:val="21"/>
                    </w:rPr>
                    <w:t>时期</w:t>
                  </w:r>
                </w:p>
              </w:tc>
              <w:tc>
                <w:tcPr>
                  <w:tcW w:w="1226" w:type="dxa"/>
                  <w:vAlign w:val="center"/>
                </w:tcPr>
                <w:p w14:paraId="16EF468F">
                  <w:pPr>
                    <w:keepNext w:val="0"/>
                    <w:keepLines w:val="0"/>
                    <w:suppressLineNumbers w:val="0"/>
                    <w:spacing w:before="0" w:beforeAutospacing="0" w:after="0" w:afterAutospacing="0"/>
                    <w:ind w:left="0" w:right="0"/>
                    <w:jc w:val="center"/>
                    <w:rPr>
                      <w:szCs w:val="21"/>
                    </w:rPr>
                  </w:pPr>
                  <w:r>
                    <w:rPr>
                      <w:szCs w:val="21"/>
                    </w:rPr>
                    <w:t>环境问题</w:t>
                  </w:r>
                </w:p>
              </w:tc>
              <w:tc>
                <w:tcPr>
                  <w:tcW w:w="3337" w:type="dxa"/>
                  <w:vAlign w:val="center"/>
                </w:tcPr>
                <w:p w14:paraId="45F5EF22">
                  <w:pPr>
                    <w:keepNext w:val="0"/>
                    <w:keepLines w:val="0"/>
                    <w:suppressLineNumbers w:val="0"/>
                    <w:spacing w:before="0" w:beforeAutospacing="0" w:after="0" w:afterAutospacing="0"/>
                    <w:ind w:left="0" w:right="0"/>
                    <w:jc w:val="center"/>
                    <w:rPr>
                      <w:szCs w:val="21"/>
                    </w:rPr>
                  </w:pPr>
                  <w:r>
                    <w:rPr>
                      <w:szCs w:val="21"/>
                    </w:rPr>
                    <w:t>环境保护措施</w:t>
                  </w:r>
                </w:p>
              </w:tc>
              <w:tc>
                <w:tcPr>
                  <w:tcW w:w="3364" w:type="dxa"/>
                  <w:vAlign w:val="center"/>
                </w:tcPr>
                <w:p w14:paraId="172A42ED">
                  <w:pPr>
                    <w:keepNext w:val="0"/>
                    <w:keepLines w:val="0"/>
                    <w:suppressLineNumbers w:val="0"/>
                    <w:spacing w:before="0" w:beforeAutospacing="0" w:after="0" w:afterAutospacing="0"/>
                    <w:ind w:left="0" w:right="0"/>
                    <w:jc w:val="center"/>
                    <w:rPr>
                      <w:szCs w:val="21"/>
                    </w:rPr>
                  </w:pPr>
                  <w:r>
                    <w:rPr>
                      <w:szCs w:val="21"/>
                    </w:rPr>
                    <w:t>监测频率</w:t>
                  </w:r>
                </w:p>
              </w:tc>
            </w:tr>
            <w:tr w14:paraId="6183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restart"/>
                  <w:vAlign w:val="center"/>
                </w:tcPr>
                <w:p w14:paraId="1B7C5F6A">
                  <w:pPr>
                    <w:keepNext w:val="0"/>
                    <w:keepLines w:val="0"/>
                    <w:suppressLineNumbers w:val="0"/>
                    <w:spacing w:before="0" w:beforeAutospacing="0" w:after="0" w:afterAutospacing="0"/>
                    <w:ind w:left="0" w:right="0"/>
                    <w:jc w:val="center"/>
                    <w:rPr>
                      <w:szCs w:val="21"/>
                    </w:rPr>
                  </w:pPr>
                  <w:r>
                    <w:rPr>
                      <w:szCs w:val="21"/>
                    </w:rPr>
                    <w:t>施工期</w:t>
                  </w:r>
                </w:p>
              </w:tc>
              <w:tc>
                <w:tcPr>
                  <w:tcW w:w="1226" w:type="dxa"/>
                  <w:vAlign w:val="center"/>
                </w:tcPr>
                <w:p w14:paraId="4679248E">
                  <w:pPr>
                    <w:keepNext w:val="0"/>
                    <w:keepLines w:val="0"/>
                    <w:suppressLineNumbers w:val="0"/>
                    <w:spacing w:before="0" w:beforeAutospacing="0" w:after="0" w:afterAutospacing="0"/>
                    <w:ind w:left="0" w:right="0"/>
                    <w:jc w:val="center"/>
                    <w:rPr>
                      <w:szCs w:val="21"/>
                    </w:rPr>
                  </w:pPr>
                  <w:r>
                    <w:rPr>
                      <w:szCs w:val="21"/>
                    </w:rPr>
                    <w:t>噪声</w:t>
                  </w:r>
                </w:p>
              </w:tc>
              <w:tc>
                <w:tcPr>
                  <w:tcW w:w="3337" w:type="dxa"/>
                  <w:vAlign w:val="center"/>
                </w:tcPr>
                <w:p w14:paraId="6BBB653B">
                  <w:pPr>
                    <w:keepNext w:val="0"/>
                    <w:keepLines w:val="0"/>
                    <w:suppressLineNumbers w:val="0"/>
                    <w:spacing w:before="0" w:beforeAutospacing="0" w:after="0" w:afterAutospacing="0"/>
                    <w:ind w:left="0" w:right="0"/>
                    <w:jc w:val="center"/>
                    <w:rPr>
                      <w:szCs w:val="21"/>
                    </w:rPr>
                  </w:pPr>
                  <w:r>
                    <w:rPr>
                      <w:szCs w:val="21"/>
                    </w:rPr>
                    <w:t>合理安排施工时间，尽可能避免大量高噪声设备同时施工。</w:t>
                  </w:r>
                </w:p>
              </w:tc>
              <w:tc>
                <w:tcPr>
                  <w:tcW w:w="3364" w:type="dxa"/>
                  <w:vAlign w:val="center"/>
                </w:tcPr>
                <w:p w14:paraId="574B4151">
                  <w:pPr>
                    <w:keepNext w:val="0"/>
                    <w:keepLines w:val="0"/>
                    <w:suppressLineNumbers w:val="0"/>
                    <w:spacing w:before="0" w:beforeAutospacing="0" w:after="0" w:afterAutospacing="0"/>
                    <w:ind w:left="0" w:right="0"/>
                    <w:jc w:val="center"/>
                    <w:rPr>
                      <w:szCs w:val="21"/>
                    </w:rPr>
                  </w:pPr>
                  <w:r>
                    <w:rPr>
                      <w:szCs w:val="21"/>
                    </w:rPr>
                    <w:t>施工期抽测</w:t>
                  </w:r>
                </w:p>
              </w:tc>
            </w:tr>
            <w:tr w14:paraId="1DB9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401D61AA">
                  <w:pPr>
                    <w:keepNext w:val="0"/>
                    <w:keepLines w:val="0"/>
                    <w:suppressLineNumbers w:val="0"/>
                    <w:spacing w:before="0" w:beforeAutospacing="0" w:after="0" w:afterAutospacing="0"/>
                    <w:ind w:left="0" w:right="0"/>
                    <w:jc w:val="center"/>
                    <w:rPr>
                      <w:szCs w:val="21"/>
                    </w:rPr>
                  </w:pPr>
                </w:p>
              </w:tc>
              <w:tc>
                <w:tcPr>
                  <w:tcW w:w="1226" w:type="dxa"/>
                  <w:vAlign w:val="center"/>
                </w:tcPr>
                <w:p w14:paraId="30D11706">
                  <w:pPr>
                    <w:keepNext w:val="0"/>
                    <w:keepLines w:val="0"/>
                    <w:suppressLineNumbers w:val="0"/>
                    <w:spacing w:before="0" w:beforeAutospacing="0" w:after="0" w:afterAutospacing="0"/>
                    <w:ind w:left="0" w:right="0"/>
                    <w:jc w:val="center"/>
                    <w:rPr>
                      <w:szCs w:val="21"/>
                    </w:rPr>
                  </w:pPr>
                  <w:r>
                    <w:rPr>
                      <w:szCs w:val="21"/>
                    </w:rPr>
                    <w:t>工程废水/生活污水</w:t>
                  </w:r>
                </w:p>
              </w:tc>
              <w:tc>
                <w:tcPr>
                  <w:tcW w:w="3337" w:type="dxa"/>
                  <w:vAlign w:val="center"/>
                </w:tcPr>
                <w:p w14:paraId="478257E4">
                  <w:pPr>
                    <w:keepNext w:val="0"/>
                    <w:keepLines w:val="0"/>
                    <w:suppressLineNumbers w:val="0"/>
                    <w:spacing w:before="0" w:beforeAutospacing="0" w:after="0" w:afterAutospacing="0"/>
                    <w:ind w:left="0" w:right="0"/>
                    <w:jc w:val="center"/>
                    <w:rPr>
                      <w:szCs w:val="21"/>
                    </w:rPr>
                  </w:pPr>
                  <w:r>
                    <w:rPr>
                      <w:szCs w:val="21"/>
                    </w:rPr>
                    <w:t>本环评要求施工单位在场地设沉淀池，将场地工程废水收集至沉淀池处理后用于泼洒地面降尘；施工期设置移动环保厕所，施工期</w:t>
                  </w:r>
                  <w:r>
                    <w:rPr>
                      <w:rFonts w:hint="eastAsia"/>
                      <w:szCs w:val="21"/>
                    </w:rPr>
                    <w:t>定期</w:t>
                  </w:r>
                  <w:r>
                    <w:rPr>
                      <w:szCs w:val="21"/>
                    </w:rPr>
                    <w:t>清掏，并拉运至托克逊县生活污水处理厂处理。</w:t>
                  </w:r>
                </w:p>
              </w:tc>
              <w:tc>
                <w:tcPr>
                  <w:tcW w:w="3364" w:type="dxa"/>
                  <w:vAlign w:val="center"/>
                </w:tcPr>
                <w:p w14:paraId="57576A1D">
                  <w:pPr>
                    <w:keepNext w:val="0"/>
                    <w:keepLines w:val="0"/>
                    <w:suppressLineNumbers w:val="0"/>
                    <w:spacing w:before="0" w:beforeAutospacing="0" w:after="0" w:afterAutospacing="0"/>
                    <w:ind w:left="0" w:right="0"/>
                    <w:jc w:val="center"/>
                    <w:rPr>
                      <w:szCs w:val="21"/>
                    </w:rPr>
                  </w:pPr>
                  <w:r>
                    <w:rPr>
                      <w:szCs w:val="21"/>
                    </w:rPr>
                    <w:t>施工期抽测</w:t>
                  </w:r>
                </w:p>
              </w:tc>
            </w:tr>
            <w:tr w14:paraId="572D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5ADD0399">
                  <w:pPr>
                    <w:keepNext w:val="0"/>
                    <w:keepLines w:val="0"/>
                    <w:suppressLineNumbers w:val="0"/>
                    <w:spacing w:before="0" w:beforeAutospacing="0" w:after="0" w:afterAutospacing="0"/>
                    <w:ind w:left="0" w:right="0"/>
                    <w:jc w:val="center"/>
                    <w:rPr>
                      <w:szCs w:val="21"/>
                    </w:rPr>
                  </w:pPr>
                </w:p>
              </w:tc>
              <w:tc>
                <w:tcPr>
                  <w:tcW w:w="1226" w:type="dxa"/>
                  <w:vAlign w:val="center"/>
                </w:tcPr>
                <w:p w14:paraId="287556B8">
                  <w:pPr>
                    <w:keepNext w:val="0"/>
                    <w:keepLines w:val="0"/>
                    <w:suppressLineNumbers w:val="0"/>
                    <w:spacing w:before="0" w:beforeAutospacing="0" w:after="0" w:afterAutospacing="0"/>
                    <w:ind w:left="0" w:right="0"/>
                    <w:jc w:val="center"/>
                    <w:rPr>
                      <w:szCs w:val="21"/>
                    </w:rPr>
                  </w:pPr>
                  <w:r>
                    <w:rPr>
                      <w:szCs w:val="21"/>
                    </w:rPr>
                    <w:t>固体废物</w:t>
                  </w:r>
                </w:p>
              </w:tc>
              <w:tc>
                <w:tcPr>
                  <w:tcW w:w="3337" w:type="dxa"/>
                  <w:vAlign w:val="center"/>
                </w:tcPr>
                <w:p w14:paraId="5F1B04B9">
                  <w:pPr>
                    <w:keepNext w:val="0"/>
                    <w:keepLines w:val="0"/>
                    <w:widowControl/>
                    <w:suppressLineNumbers w:val="0"/>
                    <w:spacing w:before="0" w:beforeAutospacing="0" w:after="0" w:afterAutospacing="0"/>
                    <w:ind w:left="0" w:right="0"/>
                    <w:jc w:val="center"/>
                    <w:rPr>
                      <w:szCs w:val="21"/>
                    </w:rPr>
                  </w:pPr>
                  <w:r>
                    <w:rPr>
                      <w:kern w:val="0"/>
                      <w:szCs w:val="21"/>
                    </w:rPr>
                    <w:t>施工过程中的建筑</w:t>
                  </w:r>
                  <w:r>
                    <w:rPr>
                      <w:rFonts w:hint="eastAsia"/>
                      <w:kern w:val="0"/>
                      <w:szCs w:val="21"/>
                    </w:rPr>
                    <w:t>垃圾</w:t>
                  </w:r>
                  <w:r>
                    <w:rPr>
                      <w:kern w:val="0"/>
                      <w:szCs w:val="21"/>
                    </w:rPr>
                    <w:t>应分别堆放，</w:t>
                  </w:r>
                </w:p>
                <w:p w14:paraId="5EFFC7BE">
                  <w:pPr>
                    <w:keepNext w:val="0"/>
                    <w:keepLines w:val="0"/>
                    <w:widowControl/>
                    <w:suppressLineNumbers w:val="0"/>
                    <w:spacing w:before="0" w:beforeAutospacing="0" w:after="0" w:afterAutospacing="0"/>
                    <w:ind w:left="0" w:right="0"/>
                    <w:jc w:val="center"/>
                    <w:rPr>
                      <w:szCs w:val="21"/>
                    </w:rPr>
                  </w:pPr>
                  <w:r>
                    <w:rPr>
                      <w:kern w:val="0"/>
                      <w:szCs w:val="21"/>
                    </w:rPr>
                    <w:t>并及时清运</w:t>
                  </w:r>
                  <w:r>
                    <w:rPr>
                      <w:szCs w:val="21"/>
                    </w:rPr>
                    <w:t>生活垃圾集中收集至带盖垃圾箱内，定期清运至库米什镇就近的生活垃圾收集点，最终由库米什镇环卫部门统一清运处置。</w:t>
                  </w:r>
                </w:p>
              </w:tc>
              <w:tc>
                <w:tcPr>
                  <w:tcW w:w="3364" w:type="dxa"/>
                  <w:vAlign w:val="center"/>
                </w:tcPr>
                <w:p w14:paraId="75DA21F1">
                  <w:pPr>
                    <w:keepNext w:val="0"/>
                    <w:keepLines w:val="0"/>
                    <w:suppressLineNumbers w:val="0"/>
                    <w:spacing w:before="0" w:beforeAutospacing="0" w:after="0" w:afterAutospacing="0"/>
                    <w:ind w:left="0" w:right="0"/>
                    <w:jc w:val="center"/>
                    <w:rPr>
                      <w:szCs w:val="21"/>
                    </w:rPr>
                  </w:pPr>
                  <w:r>
                    <w:rPr>
                      <w:szCs w:val="21"/>
                    </w:rPr>
                    <w:t>施工期抽查</w:t>
                  </w:r>
                </w:p>
              </w:tc>
            </w:tr>
            <w:tr w14:paraId="14D9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4B3D0D27">
                  <w:pPr>
                    <w:keepNext w:val="0"/>
                    <w:keepLines w:val="0"/>
                    <w:suppressLineNumbers w:val="0"/>
                    <w:spacing w:before="0" w:beforeAutospacing="0" w:after="0" w:afterAutospacing="0"/>
                    <w:ind w:left="0" w:right="0"/>
                    <w:jc w:val="center"/>
                    <w:rPr>
                      <w:szCs w:val="21"/>
                    </w:rPr>
                  </w:pPr>
                </w:p>
              </w:tc>
              <w:tc>
                <w:tcPr>
                  <w:tcW w:w="1226" w:type="dxa"/>
                  <w:vAlign w:val="center"/>
                </w:tcPr>
                <w:p w14:paraId="64492985">
                  <w:pPr>
                    <w:keepNext w:val="0"/>
                    <w:keepLines w:val="0"/>
                    <w:suppressLineNumbers w:val="0"/>
                    <w:spacing w:before="0" w:beforeAutospacing="0" w:after="0" w:afterAutospacing="0"/>
                    <w:ind w:left="0" w:right="0"/>
                    <w:jc w:val="center"/>
                    <w:rPr>
                      <w:szCs w:val="21"/>
                    </w:rPr>
                  </w:pPr>
                  <w:r>
                    <w:rPr>
                      <w:szCs w:val="21"/>
                    </w:rPr>
                    <w:t>扬尘</w:t>
                  </w:r>
                </w:p>
              </w:tc>
              <w:tc>
                <w:tcPr>
                  <w:tcW w:w="3337" w:type="dxa"/>
                  <w:vAlign w:val="center"/>
                </w:tcPr>
                <w:p w14:paraId="6CA7BC6A">
                  <w:pPr>
                    <w:keepNext w:val="0"/>
                    <w:keepLines w:val="0"/>
                    <w:suppressLineNumbers w:val="0"/>
                    <w:spacing w:before="0" w:beforeAutospacing="0" w:after="0" w:afterAutospacing="0"/>
                    <w:ind w:left="0" w:right="0"/>
                    <w:jc w:val="center"/>
                    <w:rPr>
                      <w:szCs w:val="21"/>
                    </w:rPr>
                  </w:pPr>
                  <w:r>
                    <w:rPr>
                      <w:szCs w:val="21"/>
                    </w:rPr>
                    <w:t>采取洒水降尘等措施。</w:t>
                  </w:r>
                </w:p>
              </w:tc>
              <w:tc>
                <w:tcPr>
                  <w:tcW w:w="3364" w:type="dxa"/>
                  <w:vAlign w:val="center"/>
                </w:tcPr>
                <w:p w14:paraId="783BFFEE">
                  <w:pPr>
                    <w:keepNext w:val="0"/>
                    <w:keepLines w:val="0"/>
                    <w:suppressLineNumbers w:val="0"/>
                    <w:spacing w:before="0" w:beforeAutospacing="0" w:after="0" w:afterAutospacing="0"/>
                    <w:ind w:left="0" w:right="0"/>
                    <w:jc w:val="center"/>
                    <w:rPr>
                      <w:szCs w:val="21"/>
                    </w:rPr>
                  </w:pPr>
                  <w:r>
                    <w:rPr>
                      <w:szCs w:val="21"/>
                    </w:rPr>
                    <w:t>施工期抽查</w:t>
                  </w:r>
                </w:p>
              </w:tc>
            </w:tr>
            <w:tr w14:paraId="5DAD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02A91650">
                  <w:pPr>
                    <w:keepNext w:val="0"/>
                    <w:keepLines w:val="0"/>
                    <w:suppressLineNumbers w:val="0"/>
                    <w:spacing w:before="0" w:beforeAutospacing="0" w:after="0" w:afterAutospacing="0"/>
                    <w:ind w:left="0" w:right="0"/>
                    <w:jc w:val="center"/>
                    <w:rPr>
                      <w:szCs w:val="21"/>
                    </w:rPr>
                  </w:pPr>
                </w:p>
              </w:tc>
              <w:tc>
                <w:tcPr>
                  <w:tcW w:w="1226" w:type="dxa"/>
                  <w:vAlign w:val="center"/>
                </w:tcPr>
                <w:p w14:paraId="38FE78E7">
                  <w:pPr>
                    <w:keepNext w:val="0"/>
                    <w:keepLines w:val="0"/>
                    <w:suppressLineNumbers w:val="0"/>
                    <w:spacing w:before="0" w:beforeAutospacing="0" w:after="0" w:afterAutospacing="0"/>
                    <w:ind w:left="0" w:right="0"/>
                    <w:jc w:val="center"/>
                    <w:rPr>
                      <w:szCs w:val="21"/>
                    </w:rPr>
                  </w:pPr>
                  <w:r>
                    <w:rPr>
                      <w:szCs w:val="21"/>
                    </w:rPr>
                    <w:t>生态环境</w:t>
                  </w:r>
                </w:p>
              </w:tc>
              <w:tc>
                <w:tcPr>
                  <w:tcW w:w="3337" w:type="dxa"/>
                  <w:vAlign w:val="center"/>
                </w:tcPr>
                <w:p w14:paraId="4B978ED0">
                  <w:pPr>
                    <w:keepNext w:val="0"/>
                    <w:keepLines w:val="0"/>
                    <w:widowControl/>
                    <w:suppressLineNumbers w:val="0"/>
                    <w:spacing w:before="0" w:beforeAutospacing="0" w:after="0" w:afterAutospacing="0"/>
                    <w:ind w:left="0" w:right="0"/>
                    <w:jc w:val="center"/>
                    <w:rPr>
                      <w:szCs w:val="21"/>
                    </w:rPr>
                  </w:pPr>
                  <w:r>
                    <w:rPr>
                      <w:kern w:val="0"/>
                      <w:szCs w:val="21"/>
                    </w:rPr>
                    <w:t>施工临时用地及时进行恢复。</w:t>
                  </w:r>
                </w:p>
              </w:tc>
              <w:tc>
                <w:tcPr>
                  <w:tcW w:w="3364" w:type="dxa"/>
                  <w:vAlign w:val="center"/>
                </w:tcPr>
                <w:p w14:paraId="7400C338">
                  <w:pPr>
                    <w:keepNext w:val="0"/>
                    <w:keepLines w:val="0"/>
                    <w:suppressLineNumbers w:val="0"/>
                    <w:spacing w:before="0" w:beforeAutospacing="0" w:after="0" w:afterAutospacing="0"/>
                    <w:ind w:left="0" w:right="0"/>
                    <w:jc w:val="center"/>
                    <w:rPr>
                      <w:szCs w:val="21"/>
                    </w:rPr>
                  </w:pPr>
                  <w:r>
                    <w:rPr>
                      <w:szCs w:val="21"/>
                    </w:rPr>
                    <w:t>施工期抽查</w:t>
                  </w:r>
                </w:p>
              </w:tc>
            </w:tr>
            <w:tr w14:paraId="5235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restart"/>
                  <w:vAlign w:val="center"/>
                </w:tcPr>
                <w:p w14:paraId="2F29E3D3">
                  <w:pPr>
                    <w:keepNext w:val="0"/>
                    <w:keepLines w:val="0"/>
                    <w:suppressLineNumbers w:val="0"/>
                    <w:spacing w:before="0" w:beforeAutospacing="0" w:after="0" w:afterAutospacing="0"/>
                    <w:ind w:left="0" w:right="0"/>
                    <w:jc w:val="center"/>
                    <w:rPr>
                      <w:szCs w:val="21"/>
                    </w:rPr>
                  </w:pPr>
                  <w:r>
                    <w:rPr>
                      <w:szCs w:val="21"/>
                    </w:rPr>
                    <w:t>运营期</w:t>
                  </w:r>
                </w:p>
              </w:tc>
              <w:tc>
                <w:tcPr>
                  <w:tcW w:w="1226" w:type="dxa"/>
                  <w:vAlign w:val="center"/>
                </w:tcPr>
                <w:p w14:paraId="0C1197D9">
                  <w:pPr>
                    <w:keepNext w:val="0"/>
                    <w:keepLines w:val="0"/>
                    <w:widowControl/>
                    <w:suppressLineNumbers w:val="0"/>
                    <w:spacing w:before="0" w:beforeAutospacing="0" w:after="0" w:afterAutospacing="0"/>
                    <w:ind w:left="0" w:right="0"/>
                    <w:jc w:val="center"/>
                    <w:rPr>
                      <w:szCs w:val="21"/>
                    </w:rPr>
                  </w:pPr>
                  <w:r>
                    <w:rPr>
                      <w:kern w:val="0"/>
                      <w:szCs w:val="21"/>
                    </w:rPr>
                    <w:t>工频电场、</w:t>
                  </w:r>
                </w:p>
                <w:p w14:paraId="0F8FC934">
                  <w:pPr>
                    <w:keepNext w:val="0"/>
                    <w:keepLines w:val="0"/>
                    <w:widowControl/>
                    <w:suppressLineNumbers w:val="0"/>
                    <w:spacing w:before="0" w:beforeAutospacing="0" w:after="0" w:afterAutospacing="0"/>
                    <w:ind w:left="0" w:right="0"/>
                    <w:jc w:val="center"/>
                    <w:rPr>
                      <w:szCs w:val="21"/>
                    </w:rPr>
                  </w:pPr>
                  <w:r>
                    <w:rPr>
                      <w:kern w:val="0"/>
                      <w:szCs w:val="21"/>
                    </w:rPr>
                    <w:t>工频磁场</w:t>
                  </w:r>
                </w:p>
              </w:tc>
              <w:tc>
                <w:tcPr>
                  <w:tcW w:w="3337" w:type="dxa"/>
                  <w:vAlign w:val="center"/>
                </w:tcPr>
                <w:p w14:paraId="2691AA81">
                  <w:pPr>
                    <w:keepNext w:val="0"/>
                    <w:keepLines w:val="0"/>
                    <w:widowControl/>
                    <w:suppressLineNumbers w:val="0"/>
                    <w:spacing w:before="0" w:beforeAutospacing="0" w:after="0" w:afterAutospacing="0"/>
                    <w:ind w:left="0" w:right="0"/>
                    <w:jc w:val="center"/>
                    <w:rPr>
                      <w:szCs w:val="21"/>
                    </w:rPr>
                  </w:pPr>
                  <w:r>
                    <w:rPr>
                      <w:szCs w:val="21"/>
                    </w:rPr>
                    <w:t>提高设备的性能，增加带电设备的接地装置。</w:t>
                  </w:r>
                </w:p>
              </w:tc>
              <w:tc>
                <w:tcPr>
                  <w:tcW w:w="3364" w:type="dxa"/>
                  <w:vAlign w:val="center"/>
                </w:tcPr>
                <w:p w14:paraId="008D7F9B">
                  <w:pPr>
                    <w:keepNext w:val="0"/>
                    <w:keepLines w:val="0"/>
                    <w:widowControl/>
                    <w:suppressLineNumbers w:val="0"/>
                    <w:spacing w:before="0" w:beforeAutospacing="0" w:after="0" w:afterAutospacing="0"/>
                    <w:ind w:left="0" w:right="0"/>
                    <w:jc w:val="center"/>
                    <w:rPr>
                      <w:szCs w:val="21"/>
                    </w:rPr>
                  </w:pPr>
                  <w:r>
                    <w:rPr>
                      <w:color w:val="000000"/>
                      <w:kern w:val="0"/>
                      <w:szCs w:val="21"/>
                    </w:rPr>
                    <w:t>竣工环保验收时监测一次，</w:t>
                  </w:r>
                  <w:r>
                    <w:rPr>
                      <w:rFonts w:hint="eastAsia"/>
                      <w:color w:val="000000"/>
                      <w:kern w:val="0"/>
                      <w:szCs w:val="21"/>
                    </w:rPr>
                    <w:t>出现</w:t>
                  </w:r>
                  <w:r>
                    <w:rPr>
                      <w:color w:val="000000"/>
                      <w:kern w:val="0"/>
                      <w:szCs w:val="21"/>
                    </w:rPr>
                    <w:t>环保投诉时建设单位组织开展监测。</w:t>
                  </w:r>
                </w:p>
              </w:tc>
            </w:tr>
            <w:tr w14:paraId="0BD8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0D040DD6">
                  <w:pPr>
                    <w:keepNext w:val="0"/>
                    <w:keepLines w:val="0"/>
                    <w:suppressLineNumbers w:val="0"/>
                    <w:spacing w:before="0" w:beforeAutospacing="0" w:after="0" w:afterAutospacing="0"/>
                    <w:ind w:left="0" w:right="0"/>
                    <w:jc w:val="center"/>
                    <w:rPr>
                      <w:szCs w:val="21"/>
                    </w:rPr>
                  </w:pPr>
                </w:p>
              </w:tc>
              <w:tc>
                <w:tcPr>
                  <w:tcW w:w="1226" w:type="dxa"/>
                  <w:vAlign w:val="center"/>
                </w:tcPr>
                <w:p w14:paraId="3ECE48BD">
                  <w:pPr>
                    <w:keepNext w:val="0"/>
                    <w:keepLines w:val="0"/>
                    <w:suppressLineNumbers w:val="0"/>
                    <w:spacing w:before="0" w:beforeAutospacing="0" w:after="0" w:afterAutospacing="0"/>
                    <w:ind w:left="0" w:right="0"/>
                    <w:jc w:val="center"/>
                    <w:rPr>
                      <w:szCs w:val="21"/>
                    </w:rPr>
                  </w:pPr>
                  <w:r>
                    <w:rPr>
                      <w:szCs w:val="21"/>
                    </w:rPr>
                    <w:t>噪声</w:t>
                  </w:r>
                </w:p>
              </w:tc>
              <w:tc>
                <w:tcPr>
                  <w:tcW w:w="3337" w:type="dxa"/>
                  <w:vAlign w:val="center"/>
                </w:tcPr>
                <w:p w14:paraId="5385A308">
                  <w:pPr>
                    <w:keepNext w:val="0"/>
                    <w:keepLines w:val="0"/>
                    <w:widowControl/>
                    <w:suppressLineNumbers w:val="0"/>
                    <w:spacing w:before="0" w:beforeAutospacing="0" w:after="0" w:afterAutospacing="0"/>
                    <w:ind w:left="0" w:right="0"/>
                    <w:jc w:val="center"/>
                    <w:rPr>
                      <w:szCs w:val="21"/>
                    </w:rPr>
                  </w:pPr>
                  <w:r>
                    <w:rPr>
                      <w:kern w:val="0"/>
                      <w:szCs w:val="21"/>
                    </w:rPr>
                    <w:t>采用低噪声的变电设备。</w:t>
                  </w:r>
                </w:p>
              </w:tc>
              <w:tc>
                <w:tcPr>
                  <w:tcW w:w="3364" w:type="dxa"/>
                  <w:vAlign w:val="center"/>
                </w:tcPr>
                <w:p w14:paraId="1B2F54B9">
                  <w:pPr>
                    <w:keepNext w:val="0"/>
                    <w:keepLines w:val="0"/>
                    <w:suppressLineNumbers w:val="0"/>
                    <w:spacing w:before="0" w:beforeAutospacing="0" w:after="0" w:afterAutospacing="0"/>
                    <w:ind w:left="0" w:right="0"/>
                    <w:jc w:val="center"/>
                    <w:rPr>
                      <w:szCs w:val="21"/>
                    </w:rPr>
                  </w:pPr>
                  <w:r>
                    <w:rPr>
                      <w:szCs w:val="21"/>
                    </w:rPr>
                    <w:t>1次/季度</w:t>
                  </w:r>
                </w:p>
              </w:tc>
            </w:tr>
            <w:tr w14:paraId="4D15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57C1977B">
                  <w:pPr>
                    <w:keepNext w:val="0"/>
                    <w:keepLines w:val="0"/>
                    <w:suppressLineNumbers w:val="0"/>
                    <w:spacing w:before="0" w:beforeAutospacing="0" w:after="0" w:afterAutospacing="0"/>
                    <w:ind w:left="0" w:right="0"/>
                    <w:jc w:val="center"/>
                    <w:rPr>
                      <w:szCs w:val="21"/>
                    </w:rPr>
                  </w:pPr>
                </w:p>
              </w:tc>
              <w:tc>
                <w:tcPr>
                  <w:tcW w:w="1226" w:type="dxa"/>
                  <w:vAlign w:val="center"/>
                </w:tcPr>
                <w:p w14:paraId="5A15D13F">
                  <w:pPr>
                    <w:keepNext w:val="0"/>
                    <w:keepLines w:val="0"/>
                    <w:suppressLineNumbers w:val="0"/>
                    <w:spacing w:before="0" w:beforeAutospacing="0" w:after="0" w:afterAutospacing="0"/>
                    <w:ind w:left="0" w:right="0"/>
                    <w:jc w:val="center"/>
                    <w:rPr>
                      <w:szCs w:val="21"/>
                    </w:rPr>
                  </w:pPr>
                  <w:r>
                    <w:rPr>
                      <w:szCs w:val="21"/>
                    </w:rPr>
                    <w:t>食堂油烟</w:t>
                  </w:r>
                </w:p>
              </w:tc>
              <w:tc>
                <w:tcPr>
                  <w:tcW w:w="3337" w:type="dxa"/>
                  <w:vAlign w:val="center"/>
                </w:tcPr>
                <w:p w14:paraId="7CD9D926">
                  <w:pPr>
                    <w:keepNext w:val="0"/>
                    <w:keepLines w:val="0"/>
                    <w:widowControl/>
                    <w:suppressLineNumbers w:val="0"/>
                    <w:spacing w:before="0" w:beforeAutospacing="0" w:after="0" w:afterAutospacing="0"/>
                    <w:ind w:left="0" w:right="0"/>
                    <w:jc w:val="center"/>
                    <w:rPr>
                      <w:kern w:val="0"/>
                      <w:szCs w:val="21"/>
                    </w:rPr>
                  </w:pPr>
                  <w:r>
                    <w:rPr>
                      <w:kern w:val="0"/>
                      <w:szCs w:val="21"/>
                    </w:rPr>
                    <w:t>安装油烟净化器1套。</w:t>
                  </w:r>
                </w:p>
              </w:tc>
              <w:tc>
                <w:tcPr>
                  <w:tcW w:w="3364" w:type="dxa"/>
                  <w:vAlign w:val="center"/>
                </w:tcPr>
                <w:p w14:paraId="0B99C738">
                  <w:pPr>
                    <w:keepNext w:val="0"/>
                    <w:keepLines w:val="0"/>
                    <w:suppressLineNumbers w:val="0"/>
                    <w:spacing w:before="0" w:beforeAutospacing="0" w:after="0" w:afterAutospacing="0"/>
                    <w:ind w:left="0" w:right="0"/>
                    <w:jc w:val="center"/>
                    <w:rPr>
                      <w:szCs w:val="21"/>
                    </w:rPr>
                  </w:pPr>
                  <w:r>
                    <w:rPr>
                      <w:szCs w:val="21"/>
                    </w:rPr>
                    <w:t>1次/年</w:t>
                  </w:r>
                </w:p>
              </w:tc>
            </w:tr>
            <w:tr w14:paraId="3014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Merge w:val="continue"/>
                  <w:vAlign w:val="center"/>
                </w:tcPr>
                <w:p w14:paraId="1C0A458C">
                  <w:pPr>
                    <w:keepNext w:val="0"/>
                    <w:keepLines w:val="0"/>
                    <w:suppressLineNumbers w:val="0"/>
                    <w:spacing w:before="0" w:beforeAutospacing="0" w:after="0" w:afterAutospacing="0"/>
                    <w:ind w:left="0" w:right="0"/>
                    <w:jc w:val="center"/>
                    <w:rPr>
                      <w:szCs w:val="21"/>
                    </w:rPr>
                  </w:pPr>
                </w:p>
              </w:tc>
              <w:tc>
                <w:tcPr>
                  <w:tcW w:w="1226" w:type="dxa"/>
                  <w:vAlign w:val="center"/>
                </w:tcPr>
                <w:p w14:paraId="49C8807B">
                  <w:pPr>
                    <w:keepNext w:val="0"/>
                    <w:keepLines w:val="0"/>
                    <w:suppressLineNumbers w:val="0"/>
                    <w:spacing w:before="0" w:beforeAutospacing="0" w:after="0" w:afterAutospacing="0"/>
                    <w:ind w:left="0" w:right="0"/>
                    <w:jc w:val="center"/>
                    <w:rPr>
                      <w:szCs w:val="21"/>
                    </w:rPr>
                  </w:pPr>
                  <w:r>
                    <w:rPr>
                      <w:szCs w:val="21"/>
                    </w:rPr>
                    <w:t>生活污水</w:t>
                  </w:r>
                </w:p>
              </w:tc>
              <w:tc>
                <w:tcPr>
                  <w:tcW w:w="3337" w:type="dxa"/>
                  <w:vAlign w:val="center"/>
                </w:tcPr>
                <w:p w14:paraId="02B75AFF">
                  <w:pPr>
                    <w:keepNext w:val="0"/>
                    <w:keepLines w:val="0"/>
                    <w:widowControl/>
                    <w:suppressLineNumbers w:val="0"/>
                    <w:spacing w:before="0" w:beforeAutospacing="0" w:after="0" w:afterAutospacing="0"/>
                    <w:ind w:left="0" w:right="0"/>
                    <w:jc w:val="center"/>
                    <w:rPr>
                      <w:kern w:val="0"/>
                      <w:szCs w:val="21"/>
                    </w:rPr>
                  </w:pPr>
                  <w:r>
                    <w:rPr>
                      <w:kern w:val="0"/>
                      <w:szCs w:val="21"/>
                    </w:rPr>
                    <w:t>设置地埋式</w:t>
                  </w:r>
                  <w:r>
                    <w:rPr>
                      <w:rFonts w:hint="eastAsia"/>
                      <w:kern w:val="0"/>
                      <w:szCs w:val="21"/>
                    </w:rPr>
                    <w:t>一体化</w:t>
                  </w:r>
                  <w:r>
                    <w:rPr>
                      <w:kern w:val="0"/>
                      <w:szCs w:val="21"/>
                    </w:rPr>
                    <w:t>污水处理设备，达到标准后排入防渗集水池内。</w:t>
                  </w:r>
                </w:p>
              </w:tc>
              <w:tc>
                <w:tcPr>
                  <w:tcW w:w="3364" w:type="dxa"/>
                  <w:vAlign w:val="center"/>
                </w:tcPr>
                <w:p w14:paraId="3FB26DBA">
                  <w:pPr>
                    <w:keepNext w:val="0"/>
                    <w:keepLines w:val="0"/>
                    <w:suppressLineNumbers w:val="0"/>
                    <w:spacing w:before="0" w:beforeAutospacing="0" w:after="0" w:afterAutospacing="0"/>
                    <w:ind w:left="0" w:right="0"/>
                    <w:jc w:val="center"/>
                    <w:rPr>
                      <w:szCs w:val="21"/>
                    </w:rPr>
                  </w:pPr>
                  <w:r>
                    <w:rPr>
                      <w:szCs w:val="21"/>
                    </w:rPr>
                    <w:t>1次/年</w:t>
                  </w:r>
                </w:p>
              </w:tc>
            </w:tr>
          </w:tbl>
          <w:p w14:paraId="3C8B6ECE">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ascii="宋体" w:hAnsi="宋体" w:cs="宋体"/>
                <w:sz w:val="24"/>
              </w:rPr>
            </w:pPr>
            <w:r>
              <w:rPr>
                <w:b/>
                <w:bCs/>
                <w:color w:val="000000"/>
                <w:kern w:val="0"/>
                <w:sz w:val="24"/>
              </w:rPr>
              <w:t>3.2</w:t>
            </w:r>
            <w:r>
              <w:rPr>
                <w:rFonts w:hint="eastAsia" w:ascii="宋体" w:hAnsi="宋体" w:cs="宋体"/>
                <w:b/>
                <w:bCs/>
                <w:color w:val="000000"/>
                <w:kern w:val="0"/>
                <w:sz w:val="24"/>
              </w:rPr>
              <w:t xml:space="preserve"> 监测点位布设 </w:t>
            </w:r>
          </w:p>
          <w:p w14:paraId="2C19907B">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 xml:space="preserve">本工程运行后监测项目主要为：工频电场、工频磁场和噪声。 </w:t>
            </w:r>
          </w:p>
          <w:p w14:paraId="34BCF1CA">
            <w:pPr>
              <w:keepNext w:val="0"/>
              <w:keepLines w:val="0"/>
              <w:numPr>
                <w:ilvl w:val="0"/>
                <w:numId w:val="11"/>
              </w:numPr>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 xml:space="preserve">工频电场、工频磁场 </w:t>
            </w:r>
          </w:p>
          <w:p w14:paraId="3AD9A01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①新建220kV升压站厂界四周及中心各设1个测点，新建220kV输电线路起始点、中间点及库米什220kV变电站扩建间隔各设1个测点。</w:t>
            </w:r>
          </w:p>
          <w:p w14:paraId="7063CB5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②如新增电磁环境敏感目标，电磁环境敏感目标处布点监测。</w:t>
            </w:r>
          </w:p>
          <w:p w14:paraId="52B01AED">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③新建220kV升压站按《交流输变电工程电磁环境监测方法（试行）》（HJ681-2013）方法进行监测，新建220kV输电线路监测点位及要求应满足《建设项目竣工环境保护验收技术规范 输变电》（</w:t>
            </w:r>
            <w:r>
              <w:rPr>
                <w:rFonts w:hAnsi="宋体"/>
                <w:sz w:val="24"/>
              </w:rPr>
              <w:t>HJ705-2020</w:t>
            </w:r>
            <w:r>
              <w:rPr>
                <w:rFonts w:hint="eastAsia" w:hAnsi="宋体"/>
                <w:sz w:val="24"/>
              </w:rPr>
              <w:t>）</w:t>
            </w:r>
          </w:p>
          <w:p w14:paraId="7A7C2713">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w:t>
            </w:r>
            <w:r>
              <w:rPr>
                <w:rFonts w:hAnsi="宋体"/>
                <w:sz w:val="24"/>
              </w:rPr>
              <w:t>2</w:t>
            </w:r>
            <w:r>
              <w:rPr>
                <w:rFonts w:hint="eastAsia" w:hAnsi="宋体"/>
                <w:sz w:val="24"/>
              </w:rPr>
              <w:t xml:space="preserve">）噪声 </w:t>
            </w:r>
          </w:p>
          <w:p w14:paraId="2FB8C7A8">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①新建220kV升压站厂界四周及中心各设1个测点，新建220kV输电线路起始点、中间点及库米什220kV变电站扩建间隔各设1个测点。</w:t>
            </w:r>
          </w:p>
          <w:p w14:paraId="1A69206C">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②如有投诉时或主变大修前后进行监测，监测点位及要求应满足《排污单位自行监测技术指南 总则》（HJ/819-2017）。</w:t>
            </w:r>
          </w:p>
          <w:p w14:paraId="3AC8343A">
            <w:pPr>
              <w:keepNext w:val="0"/>
              <w:keepLines w:val="0"/>
              <w:suppressLineNumbers w:val="0"/>
              <w:snapToGrid w:val="0"/>
              <w:spacing w:before="0" w:beforeAutospacing="0" w:after="0" w:afterAutospacing="0" w:line="360" w:lineRule="auto"/>
              <w:ind w:left="0" w:right="0" w:firstLine="480" w:firstLineChars="200"/>
              <w:rPr>
                <w:rFonts w:hAnsi="宋体"/>
                <w:sz w:val="24"/>
              </w:rPr>
            </w:pPr>
            <w:r>
              <w:rPr>
                <w:rFonts w:hint="eastAsia" w:hAnsi="宋体"/>
                <w:sz w:val="24"/>
              </w:rPr>
              <w:t>③新建220kV升压站按《工业企业厂界环境噪声排放标准》（GB12348-2008）监测方法进行监测，新建220kV输电线路监测点位及要求应满足《建设项目竣工环境保护验收技术规范输变电》（</w:t>
            </w:r>
            <w:r>
              <w:rPr>
                <w:rFonts w:hAnsi="宋体"/>
                <w:sz w:val="24"/>
              </w:rPr>
              <w:t>HJ705-2020</w:t>
            </w:r>
            <w:r>
              <w:rPr>
                <w:rFonts w:hint="eastAsia" w:hAnsi="宋体"/>
                <w:sz w:val="24"/>
              </w:rPr>
              <w:t>）。</w:t>
            </w:r>
          </w:p>
          <w:p w14:paraId="439DE78B">
            <w:pPr>
              <w:pStyle w:val="14"/>
              <w:keepNext w:val="0"/>
              <w:keepLines w:val="0"/>
              <w:suppressLineNumbers w:val="0"/>
              <w:spacing w:before="0" w:beforeAutospacing="0" w:after="0" w:afterAutospacing="0"/>
              <w:ind w:left="0" w:right="0"/>
            </w:pPr>
            <w:r>
              <w:rPr>
                <w:rFonts w:hint="eastAsia" w:ascii="宋体" w:hAnsi="宋体" w:cs="宋体"/>
                <w:b/>
                <w:bCs/>
                <w:sz w:val="24"/>
              </w:rPr>
              <w:t>3.3 监测技术要求</w:t>
            </w:r>
            <w:r>
              <w:rPr>
                <w:rFonts w:hint="eastAsia" w:ascii="仿宋_GB2312" w:hAnsi="宋体" w:eastAsia="仿宋_GB2312" w:cs="仿宋_GB2312"/>
                <w:color w:val="000000"/>
                <w:kern w:val="0"/>
                <w:sz w:val="24"/>
              </w:rPr>
              <w:t xml:space="preserve"> </w:t>
            </w:r>
          </w:p>
          <w:p w14:paraId="0F31582E">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①监测点位置的选取应具有代表性。 </w:t>
            </w:r>
          </w:p>
          <w:p w14:paraId="76A28357">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②监测所用仪器应与所测对象在频率、量程、响应时间等方面相符合。 </w:t>
            </w:r>
          </w:p>
          <w:p w14:paraId="32F11E7B">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③监测仪器应定期校准，并在其证书有效期内使用，每次监测前后均检查仪器，确保仪器在正常工作状态。 </w:t>
            </w:r>
          </w:p>
          <w:p w14:paraId="5CF51A98">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④监测中异常数据的取舍以及监测结果的数据处理应按统计学原则处理。 </w:t>
            </w:r>
          </w:p>
          <w:p w14:paraId="06EA63F1">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sz w:val="24"/>
              </w:rPr>
            </w:pPr>
            <w:r>
              <w:rPr>
                <w:rFonts w:hint="eastAsia" w:ascii="宋体" w:hAnsi="宋体" w:cs="宋体"/>
                <w:color w:val="000000"/>
                <w:kern w:val="0"/>
                <w:sz w:val="24"/>
              </w:rPr>
              <w:t xml:space="preserve">⑤监测时尽可能排除干扰因素，包括人为的干扰因素和环境干扰因素。 </w:t>
            </w:r>
          </w:p>
          <w:p w14:paraId="042F876C">
            <w:pPr>
              <w:keepNext w:val="0"/>
              <w:keepLines w:val="0"/>
              <w:widowControl/>
              <w:suppressLineNumbers w:val="0"/>
              <w:spacing w:before="0" w:beforeAutospacing="0" w:after="0" w:afterAutospacing="0" w:line="360" w:lineRule="auto"/>
              <w:ind w:left="0" w:right="0" w:firstLine="480" w:firstLineChars="200"/>
              <w:jc w:val="left"/>
              <w:rPr>
                <w:rFonts w:hAnsi="宋体"/>
                <w:color w:val="FF0000"/>
                <w:szCs w:val="21"/>
              </w:rPr>
            </w:pPr>
            <w:r>
              <w:rPr>
                <w:rFonts w:hint="eastAsia" w:ascii="宋体" w:hAnsi="宋体" w:cs="宋体"/>
                <w:color w:val="000000"/>
                <w:kern w:val="0"/>
                <w:sz w:val="24"/>
              </w:rPr>
              <w:t>⑥应建立完整的监测文件档案。</w:t>
            </w:r>
          </w:p>
        </w:tc>
      </w:tr>
      <w:tr w14:paraId="0C449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8" w:hRule="atLeast"/>
          <w:jc w:val="center"/>
        </w:trPr>
        <w:tc>
          <w:tcPr>
            <w:tcW w:w="826" w:type="dxa"/>
            <w:vAlign w:val="center"/>
          </w:tcPr>
          <w:p w14:paraId="276EB4D4">
            <w:pPr>
              <w:keepNext w:val="0"/>
              <w:keepLines w:val="0"/>
              <w:suppressLineNumbers w:val="0"/>
              <w:adjustRightInd w:val="0"/>
              <w:snapToGrid w:val="0"/>
              <w:spacing w:before="0" w:beforeAutospacing="0" w:after="0" w:afterAutospacing="0"/>
              <w:ind w:left="0" w:right="0"/>
              <w:jc w:val="center"/>
              <w:rPr>
                <w:rFonts w:hAnsi="宋体"/>
                <w:bCs/>
                <w:spacing w:val="10"/>
                <w:szCs w:val="21"/>
              </w:rPr>
            </w:pPr>
            <w:r>
              <w:rPr>
                <w:rFonts w:hAnsi="宋体"/>
                <w:bCs/>
                <w:szCs w:val="21"/>
              </w:rPr>
              <w:t>环保投资</w:t>
            </w:r>
          </w:p>
        </w:tc>
        <w:tc>
          <w:tcPr>
            <w:tcW w:w="8439" w:type="dxa"/>
          </w:tcPr>
          <w:p w14:paraId="048EF85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textAlignment w:val="auto"/>
              <w:rPr>
                <w:rFonts w:hAnsi="宋体"/>
                <w:sz w:val="24"/>
              </w:rPr>
            </w:pPr>
            <w:r>
              <w:rPr>
                <w:rFonts w:hint="eastAsia" w:hAnsi="宋体"/>
                <w:sz w:val="24"/>
              </w:rPr>
              <w:t>本项目总投</w:t>
            </w:r>
            <w:r>
              <w:rPr>
                <w:rFonts w:hint="eastAsia" w:hAnsi="宋体"/>
                <w:color w:val="000000" w:themeColor="text1"/>
                <w:sz w:val="24"/>
              </w:rPr>
              <w:t>资为11200万元，其中环保投资364万元，占总投资的3.25%。</w:t>
            </w:r>
            <w:r>
              <w:rPr>
                <w:rFonts w:hAnsi="宋体"/>
                <w:color w:val="000000" w:themeColor="text1"/>
                <w:sz w:val="24"/>
              </w:rPr>
              <w:t>建</w:t>
            </w:r>
            <w:r>
              <w:rPr>
                <w:rFonts w:hAnsi="宋体"/>
                <w:sz w:val="24"/>
              </w:rPr>
              <w:t>设项目环保投资概算见下表。</w:t>
            </w:r>
          </w:p>
          <w:p w14:paraId="7A9B2B0D">
            <w:pPr>
              <w:keepNext w:val="0"/>
              <w:keepLines w:val="0"/>
              <w:suppressLineNumbers w:val="0"/>
              <w:spacing w:before="0" w:beforeAutospacing="0" w:after="0" w:afterAutospacing="0"/>
              <w:ind w:left="0" w:right="0"/>
              <w:jc w:val="center"/>
              <w:rPr>
                <w:rFonts w:hAnsi="宋体"/>
                <w:b/>
                <w:sz w:val="21"/>
                <w:szCs w:val="21"/>
              </w:rPr>
            </w:pPr>
            <w:r>
              <w:rPr>
                <w:rFonts w:hAnsi="宋体"/>
                <w:b/>
                <w:sz w:val="21"/>
                <w:szCs w:val="21"/>
              </w:rPr>
              <w:t>表</w:t>
            </w:r>
            <w:r>
              <w:rPr>
                <w:rFonts w:hint="eastAsia" w:hAnsi="宋体"/>
                <w:b/>
                <w:sz w:val="21"/>
                <w:szCs w:val="21"/>
              </w:rPr>
              <w:t xml:space="preserve">5-3 </w:t>
            </w:r>
            <w:r>
              <w:rPr>
                <w:rFonts w:hint="eastAsia" w:hAnsi="宋体"/>
                <w:b/>
                <w:sz w:val="21"/>
                <w:szCs w:val="21"/>
                <w:lang w:val="en-US" w:eastAsia="zh-CN"/>
              </w:rPr>
              <w:t xml:space="preserve"> </w:t>
            </w:r>
            <w:r>
              <w:rPr>
                <w:rFonts w:hint="eastAsia" w:hAnsi="宋体"/>
                <w:b/>
                <w:sz w:val="21"/>
                <w:szCs w:val="21"/>
              </w:rPr>
              <w:t xml:space="preserve"> </w:t>
            </w:r>
            <w:r>
              <w:rPr>
                <w:rFonts w:hAnsi="宋体"/>
                <w:b/>
                <w:sz w:val="21"/>
                <w:szCs w:val="21"/>
              </w:rPr>
              <w:t>环保投资估算表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809"/>
              <w:gridCol w:w="1242"/>
              <w:gridCol w:w="4382"/>
              <w:gridCol w:w="1159"/>
            </w:tblGrid>
            <w:tr w14:paraId="77DA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64420CB">
                  <w:pPr>
                    <w:keepNext w:val="0"/>
                    <w:keepLines w:val="0"/>
                    <w:suppressLineNumbers w:val="0"/>
                    <w:spacing w:before="0" w:beforeAutospacing="0" w:after="0" w:afterAutospacing="0" w:line="240" w:lineRule="atLeast"/>
                    <w:ind w:left="0" w:right="0"/>
                    <w:jc w:val="center"/>
                    <w:rPr>
                      <w:bCs/>
                      <w:szCs w:val="21"/>
                    </w:rPr>
                  </w:pPr>
                  <w:r>
                    <w:rPr>
                      <w:bCs/>
                      <w:szCs w:val="21"/>
                    </w:rPr>
                    <w:t>时段</w:t>
                  </w:r>
                </w:p>
              </w:tc>
              <w:tc>
                <w:tcPr>
                  <w:tcW w:w="477" w:type="pct"/>
                  <w:vAlign w:val="center"/>
                </w:tcPr>
                <w:p w14:paraId="0C8FC84A">
                  <w:pPr>
                    <w:keepNext w:val="0"/>
                    <w:keepLines w:val="0"/>
                    <w:suppressLineNumbers w:val="0"/>
                    <w:spacing w:before="0" w:beforeAutospacing="0" w:after="0" w:afterAutospacing="0" w:line="240" w:lineRule="atLeast"/>
                    <w:ind w:left="0" w:right="0"/>
                    <w:jc w:val="center"/>
                    <w:rPr>
                      <w:bCs/>
                      <w:szCs w:val="21"/>
                    </w:rPr>
                  </w:pPr>
                  <w:r>
                    <w:rPr>
                      <w:bCs/>
                      <w:szCs w:val="21"/>
                    </w:rPr>
                    <w:t>类别</w:t>
                  </w:r>
                </w:p>
              </w:tc>
              <w:tc>
                <w:tcPr>
                  <w:tcW w:w="733" w:type="pct"/>
                  <w:vAlign w:val="center"/>
                </w:tcPr>
                <w:p w14:paraId="29077075">
                  <w:pPr>
                    <w:keepNext w:val="0"/>
                    <w:keepLines w:val="0"/>
                    <w:suppressLineNumbers w:val="0"/>
                    <w:spacing w:before="0" w:beforeAutospacing="0" w:after="0" w:afterAutospacing="0" w:line="240" w:lineRule="atLeast"/>
                    <w:ind w:left="0" w:right="0"/>
                    <w:jc w:val="center"/>
                    <w:rPr>
                      <w:bCs/>
                      <w:szCs w:val="21"/>
                    </w:rPr>
                  </w:pPr>
                  <w:r>
                    <w:rPr>
                      <w:bCs/>
                      <w:szCs w:val="21"/>
                    </w:rPr>
                    <w:t>污染源</w:t>
                  </w:r>
                </w:p>
              </w:tc>
              <w:tc>
                <w:tcPr>
                  <w:tcW w:w="2585" w:type="pct"/>
                  <w:vAlign w:val="center"/>
                </w:tcPr>
                <w:p w14:paraId="0A3C1C60">
                  <w:pPr>
                    <w:keepNext w:val="0"/>
                    <w:keepLines w:val="0"/>
                    <w:suppressLineNumbers w:val="0"/>
                    <w:spacing w:before="0" w:beforeAutospacing="0" w:after="0" w:afterAutospacing="0" w:line="240" w:lineRule="atLeast"/>
                    <w:ind w:left="0" w:right="0"/>
                    <w:jc w:val="center"/>
                    <w:rPr>
                      <w:bCs/>
                      <w:szCs w:val="21"/>
                    </w:rPr>
                  </w:pPr>
                  <w:r>
                    <w:rPr>
                      <w:szCs w:val="21"/>
                    </w:rPr>
                    <w:t>环保措施</w:t>
                  </w:r>
                </w:p>
              </w:tc>
              <w:tc>
                <w:tcPr>
                  <w:tcW w:w="682" w:type="pct"/>
                  <w:vAlign w:val="center"/>
                </w:tcPr>
                <w:p w14:paraId="24751402">
                  <w:pPr>
                    <w:keepNext w:val="0"/>
                    <w:keepLines w:val="0"/>
                    <w:suppressLineNumbers w:val="0"/>
                    <w:spacing w:before="0" w:beforeAutospacing="0" w:after="0" w:afterAutospacing="0" w:line="240" w:lineRule="atLeast"/>
                    <w:ind w:left="0" w:right="0"/>
                    <w:jc w:val="center"/>
                    <w:rPr>
                      <w:bCs/>
                      <w:szCs w:val="21"/>
                    </w:rPr>
                  </w:pPr>
                  <w:r>
                    <w:rPr>
                      <w:bCs/>
                      <w:szCs w:val="21"/>
                    </w:rPr>
                    <w:t>费用（万）</w:t>
                  </w:r>
                </w:p>
              </w:tc>
            </w:tr>
            <w:tr w14:paraId="06A6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restart"/>
                  <w:vAlign w:val="center"/>
                </w:tcPr>
                <w:p w14:paraId="467B5C1F">
                  <w:pPr>
                    <w:keepNext w:val="0"/>
                    <w:keepLines w:val="0"/>
                    <w:suppressLineNumbers w:val="0"/>
                    <w:spacing w:before="0" w:beforeAutospacing="0" w:after="0" w:afterAutospacing="0" w:line="240" w:lineRule="atLeast"/>
                    <w:ind w:left="0" w:right="0"/>
                    <w:jc w:val="center"/>
                    <w:rPr>
                      <w:bCs/>
                      <w:szCs w:val="21"/>
                    </w:rPr>
                  </w:pPr>
                  <w:r>
                    <w:rPr>
                      <w:bCs/>
                      <w:szCs w:val="21"/>
                    </w:rPr>
                    <w:t>施工期</w:t>
                  </w:r>
                </w:p>
              </w:tc>
              <w:tc>
                <w:tcPr>
                  <w:tcW w:w="477" w:type="pct"/>
                  <w:vAlign w:val="center"/>
                </w:tcPr>
                <w:p w14:paraId="57E8F9A9">
                  <w:pPr>
                    <w:keepNext w:val="0"/>
                    <w:keepLines w:val="0"/>
                    <w:suppressLineNumbers w:val="0"/>
                    <w:spacing w:before="0" w:beforeAutospacing="0" w:after="0" w:afterAutospacing="0" w:line="240" w:lineRule="atLeast"/>
                    <w:ind w:left="0" w:right="0"/>
                    <w:jc w:val="center"/>
                    <w:rPr>
                      <w:bCs/>
                      <w:szCs w:val="21"/>
                    </w:rPr>
                  </w:pPr>
                  <w:r>
                    <w:rPr>
                      <w:bCs/>
                      <w:szCs w:val="21"/>
                    </w:rPr>
                    <w:t>废水</w:t>
                  </w:r>
                </w:p>
              </w:tc>
              <w:tc>
                <w:tcPr>
                  <w:tcW w:w="733" w:type="pct"/>
                  <w:vAlign w:val="center"/>
                </w:tcPr>
                <w:p w14:paraId="2CF26FCB">
                  <w:pPr>
                    <w:keepNext w:val="0"/>
                    <w:keepLines w:val="0"/>
                    <w:suppressLineNumbers w:val="0"/>
                    <w:spacing w:before="0" w:beforeAutospacing="0" w:after="0" w:afterAutospacing="0" w:line="240" w:lineRule="atLeast"/>
                    <w:ind w:left="0" w:right="0"/>
                    <w:jc w:val="center"/>
                    <w:rPr>
                      <w:bCs/>
                      <w:szCs w:val="21"/>
                    </w:rPr>
                  </w:pPr>
                  <w:r>
                    <w:rPr>
                      <w:bCs/>
                      <w:szCs w:val="21"/>
                    </w:rPr>
                    <w:t>施工废水</w:t>
                  </w:r>
                </w:p>
              </w:tc>
              <w:tc>
                <w:tcPr>
                  <w:tcW w:w="2585" w:type="pct"/>
                  <w:vAlign w:val="center"/>
                </w:tcPr>
                <w:p w14:paraId="2FA266A1">
                  <w:pPr>
                    <w:keepNext w:val="0"/>
                    <w:keepLines w:val="0"/>
                    <w:suppressLineNumbers w:val="0"/>
                    <w:spacing w:before="0" w:beforeAutospacing="0" w:after="0" w:afterAutospacing="0" w:line="240" w:lineRule="atLeast"/>
                    <w:ind w:left="0" w:right="0"/>
                    <w:jc w:val="center"/>
                    <w:rPr>
                      <w:bCs/>
                      <w:szCs w:val="21"/>
                    </w:rPr>
                  </w:pPr>
                  <w:r>
                    <w:rPr>
                      <w:bCs/>
                      <w:szCs w:val="21"/>
                    </w:rPr>
                    <w:t>施工场地设置临时沉淀池、设置环保厕所</w:t>
                  </w:r>
                </w:p>
              </w:tc>
              <w:tc>
                <w:tcPr>
                  <w:tcW w:w="682" w:type="pct"/>
                  <w:vAlign w:val="center"/>
                </w:tcPr>
                <w:p w14:paraId="598C7040">
                  <w:pPr>
                    <w:keepNext w:val="0"/>
                    <w:keepLines w:val="0"/>
                    <w:suppressLineNumbers w:val="0"/>
                    <w:spacing w:before="0" w:beforeAutospacing="0" w:after="0" w:afterAutospacing="0" w:line="240" w:lineRule="atLeast"/>
                    <w:ind w:left="0" w:right="0"/>
                    <w:jc w:val="center"/>
                    <w:rPr>
                      <w:bCs/>
                      <w:szCs w:val="21"/>
                    </w:rPr>
                  </w:pPr>
                  <w:r>
                    <w:rPr>
                      <w:bCs/>
                      <w:szCs w:val="21"/>
                    </w:rPr>
                    <w:t>6</w:t>
                  </w:r>
                </w:p>
              </w:tc>
            </w:tr>
            <w:tr w14:paraId="6ED1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continue"/>
                  <w:vAlign w:val="center"/>
                </w:tcPr>
                <w:p w14:paraId="194F045A">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5FA60C33">
                  <w:pPr>
                    <w:keepNext w:val="0"/>
                    <w:keepLines w:val="0"/>
                    <w:suppressLineNumbers w:val="0"/>
                    <w:spacing w:before="0" w:beforeAutospacing="0" w:after="0" w:afterAutospacing="0" w:line="240" w:lineRule="atLeast"/>
                    <w:ind w:left="0" w:right="0"/>
                    <w:jc w:val="center"/>
                    <w:rPr>
                      <w:bCs/>
                      <w:szCs w:val="21"/>
                    </w:rPr>
                  </w:pPr>
                  <w:r>
                    <w:rPr>
                      <w:bCs/>
                      <w:szCs w:val="21"/>
                    </w:rPr>
                    <w:t>废气</w:t>
                  </w:r>
                </w:p>
              </w:tc>
              <w:tc>
                <w:tcPr>
                  <w:tcW w:w="733" w:type="pct"/>
                  <w:vAlign w:val="center"/>
                </w:tcPr>
                <w:p w14:paraId="347E5769">
                  <w:pPr>
                    <w:keepNext w:val="0"/>
                    <w:keepLines w:val="0"/>
                    <w:suppressLineNumbers w:val="0"/>
                    <w:spacing w:before="0" w:beforeAutospacing="0" w:after="0" w:afterAutospacing="0" w:line="240" w:lineRule="atLeast"/>
                    <w:ind w:left="0" w:right="0"/>
                    <w:jc w:val="center"/>
                    <w:rPr>
                      <w:bCs/>
                      <w:szCs w:val="21"/>
                    </w:rPr>
                  </w:pPr>
                  <w:r>
                    <w:rPr>
                      <w:bCs/>
                      <w:szCs w:val="21"/>
                    </w:rPr>
                    <w:t>施工扬尘</w:t>
                  </w:r>
                </w:p>
              </w:tc>
              <w:tc>
                <w:tcPr>
                  <w:tcW w:w="2585" w:type="pct"/>
                  <w:vAlign w:val="center"/>
                </w:tcPr>
                <w:p w14:paraId="4D403A09">
                  <w:pPr>
                    <w:keepNext w:val="0"/>
                    <w:keepLines w:val="0"/>
                    <w:suppressLineNumbers w:val="0"/>
                    <w:spacing w:before="0" w:beforeAutospacing="0" w:after="0" w:afterAutospacing="0" w:line="240" w:lineRule="atLeast"/>
                    <w:ind w:left="0" w:right="0"/>
                    <w:jc w:val="center"/>
                    <w:rPr>
                      <w:bCs/>
                      <w:szCs w:val="21"/>
                    </w:rPr>
                  </w:pPr>
                  <w:r>
                    <w:rPr>
                      <w:bCs/>
                      <w:szCs w:val="21"/>
                    </w:rPr>
                    <w:t>场地洒水降尘、物料篷布遮盖等防尘措施</w:t>
                  </w:r>
                </w:p>
              </w:tc>
              <w:tc>
                <w:tcPr>
                  <w:tcW w:w="682" w:type="pct"/>
                  <w:vAlign w:val="center"/>
                </w:tcPr>
                <w:p w14:paraId="16436F98">
                  <w:pPr>
                    <w:keepNext w:val="0"/>
                    <w:keepLines w:val="0"/>
                    <w:suppressLineNumbers w:val="0"/>
                    <w:spacing w:before="0" w:beforeAutospacing="0" w:after="0" w:afterAutospacing="0" w:line="240" w:lineRule="atLeast"/>
                    <w:ind w:left="0" w:right="0"/>
                    <w:jc w:val="center"/>
                    <w:rPr>
                      <w:bCs/>
                      <w:szCs w:val="21"/>
                    </w:rPr>
                  </w:pPr>
                  <w:r>
                    <w:rPr>
                      <w:bCs/>
                      <w:szCs w:val="21"/>
                    </w:rPr>
                    <w:t>8</w:t>
                  </w:r>
                </w:p>
              </w:tc>
            </w:tr>
            <w:tr w14:paraId="1B2F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21" w:type="pct"/>
                  <w:vMerge w:val="continue"/>
                  <w:vAlign w:val="center"/>
                </w:tcPr>
                <w:p w14:paraId="609E52F8">
                  <w:pPr>
                    <w:keepNext w:val="0"/>
                    <w:keepLines w:val="0"/>
                    <w:suppressLineNumbers w:val="0"/>
                    <w:spacing w:before="0" w:beforeAutospacing="0" w:after="0" w:afterAutospacing="0" w:line="240" w:lineRule="atLeast"/>
                    <w:ind w:left="0" w:right="0"/>
                    <w:jc w:val="center"/>
                    <w:rPr>
                      <w:bCs/>
                      <w:szCs w:val="21"/>
                    </w:rPr>
                  </w:pPr>
                </w:p>
              </w:tc>
              <w:tc>
                <w:tcPr>
                  <w:tcW w:w="477" w:type="pct"/>
                  <w:vMerge w:val="restart"/>
                  <w:vAlign w:val="center"/>
                </w:tcPr>
                <w:p w14:paraId="02E2875D">
                  <w:pPr>
                    <w:keepNext w:val="0"/>
                    <w:keepLines w:val="0"/>
                    <w:suppressLineNumbers w:val="0"/>
                    <w:spacing w:before="0" w:beforeAutospacing="0" w:after="0" w:afterAutospacing="0" w:line="240" w:lineRule="atLeast"/>
                    <w:ind w:left="0" w:right="0"/>
                    <w:jc w:val="center"/>
                    <w:rPr>
                      <w:bCs/>
                      <w:szCs w:val="21"/>
                    </w:rPr>
                  </w:pPr>
                  <w:r>
                    <w:rPr>
                      <w:bCs/>
                      <w:szCs w:val="21"/>
                    </w:rPr>
                    <w:t>固废</w:t>
                  </w:r>
                </w:p>
              </w:tc>
              <w:tc>
                <w:tcPr>
                  <w:tcW w:w="733" w:type="pct"/>
                  <w:vAlign w:val="center"/>
                </w:tcPr>
                <w:p w14:paraId="041BCC32">
                  <w:pPr>
                    <w:keepNext w:val="0"/>
                    <w:keepLines w:val="0"/>
                    <w:suppressLineNumbers w:val="0"/>
                    <w:spacing w:before="0" w:beforeAutospacing="0" w:after="0" w:afterAutospacing="0" w:line="240" w:lineRule="atLeast"/>
                    <w:ind w:left="0" w:right="0"/>
                    <w:jc w:val="center"/>
                    <w:rPr>
                      <w:bCs/>
                      <w:szCs w:val="21"/>
                    </w:rPr>
                  </w:pPr>
                  <w:r>
                    <w:rPr>
                      <w:bCs/>
                      <w:szCs w:val="21"/>
                    </w:rPr>
                    <w:t>生活垃圾</w:t>
                  </w:r>
                </w:p>
              </w:tc>
              <w:tc>
                <w:tcPr>
                  <w:tcW w:w="2585" w:type="pct"/>
                  <w:vAlign w:val="center"/>
                </w:tcPr>
                <w:p w14:paraId="71A2247D">
                  <w:pPr>
                    <w:keepNext w:val="0"/>
                    <w:keepLines w:val="0"/>
                    <w:suppressLineNumbers w:val="0"/>
                    <w:spacing w:before="0" w:beforeAutospacing="0" w:after="0" w:afterAutospacing="0" w:line="240" w:lineRule="atLeast"/>
                    <w:ind w:left="0" w:right="0"/>
                    <w:jc w:val="center"/>
                    <w:rPr>
                      <w:bCs/>
                      <w:szCs w:val="21"/>
                    </w:rPr>
                  </w:pPr>
                  <w:r>
                    <w:rPr>
                      <w:szCs w:val="21"/>
                    </w:rPr>
                    <w:t>设置带盖垃圾箱5个</w:t>
                  </w:r>
                </w:p>
              </w:tc>
              <w:tc>
                <w:tcPr>
                  <w:tcW w:w="682" w:type="pct"/>
                  <w:vAlign w:val="center"/>
                </w:tcPr>
                <w:p w14:paraId="77BE177A">
                  <w:pPr>
                    <w:keepNext w:val="0"/>
                    <w:keepLines w:val="0"/>
                    <w:suppressLineNumbers w:val="0"/>
                    <w:spacing w:before="0" w:beforeAutospacing="0" w:after="0" w:afterAutospacing="0" w:line="240" w:lineRule="atLeast"/>
                    <w:ind w:left="0" w:right="0"/>
                    <w:jc w:val="center"/>
                    <w:rPr>
                      <w:bCs/>
                      <w:szCs w:val="21"/>
                    </w:rPr>
                  </w:pPr>
                  <w:r>
                    <w:rPr>
                      <w:bCs/>
                      <w:szCs w:val="21"/>
                    </w:rPr>
                    <w:t>0.5</w:t>
                  </w:r>
                </w:p>
              </w:tc>
            </w:tr>
            <w:tr w14:paraId="0F3D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21" w:type="pct"/>
                  <w:vMerge w:val="continue"/>
                  <w:vAlign w:val="center"/>
                </w:tcPr>
                <w:p w14:paraId="593F1A28">
                  <w:pPr>
                    <w:keepNext w:val="0"/>
                    <w:keepLines w:val="0"/>
                    <w:suppressLineNumbers w:val="0"/>
                    <w:spacing w:before="0" w:beforeAutospacing="0" w:after="0" w:afterAutospacing="0" w:line="240" w:lineRule="atLeast"/>
                    <w:ind w:left="0" w:right="0"/>
                    <w:jc w:val="center"/>
                    <w:rPr>
                      <w:bCs/>
                      <w:szCs w:val="21"/>
                    </w:rPr>
                  </w:pPr>
                </w:p>
              </w:tc>
              <w:tc>
                <w:tcPr>
                  <w:tcW w:w="477" w:type="pct"/>
                  <w:vMerge w:val="continue"/>
                  <w:vAlign w:val="center"/>
                </w:tcPr>
                <w:p w14:paraId="37315D1A">
                  <w:pPr>
                    <w:keepNext w:val="0"/>
                    <w:keepLines w:val="0"/>
                    <w:suppressLineNumbers w:val="0"/>
                    <w:spacing w:before="0" w:beforeAutospacing="0" w:after="0" w:afterAutospacing="0" w:line="240" w:lineRule="atLeast"/>
                    <w:ind w:left="0" w:right="0"/>
                    <w:jc w:val="center"/>
                    <w:rPr>
                      <w:bCs/>
                      <w:szCs w:val="21"/>
                    </w:rPr>
                  </w:pPr>
                </w:p>
              </w:tc>
              <w:tc>
                <w:tcPr>
                  <w:tcW w:w="733" w:type="pct"/>
                  <w:vAlign w:val="center"/>
                </w:tcPr>
                <w:p w14:paraId="6473A117">
                  <w:pPr>
                    <w:keepNext w:val="0"/>
                    <w:keepLines w:val="0"/>
                    <w:suppressLineNumbers w:val="0"/>
                    <w:spacing w:before="0" w:beforeAutospacing="0" w:after="0" w:afterAutospacing="0" w:line="240" w:lineRule="atLeast"/>
                    <w:ind w:left="0" w:right="0"/>
                    <w:jc w:val="center"/>
                    <w:rPr>
                      <w:bCs/>
                      <w:szCs w:val="21"/>
                    </w:rPr>
                  </w:pPr>
                  <w:r>
                    <w:rPr>
                      <w:bCs/>
                      <w:szCs w:val="21"/>
                    </w:rPr>
                    <w:t>建筑垃圾</w:t>
                  </w:r>
                </w:p>
              </w:tc>
              <w:tc>
                <w:tcPr>
                  <w:tcW w:w="2585" w:type="pct"/>
                  <w:vAlign w:val="center"/>
                </w:tcPr>
                <w:p w14:paraId="5B885D09">
                  <w:pPr>
                    <w:keepNext w:val="0"/>
                    <w:keepLines w:val="0"/>
                    <w:suppressLineNumbers w:val="0"/>
                    <w:spacing w:before="0" w:beforeAutospacing="0" w:after="0" w:afterAutospacing="0" w:line="240" w:lineRule="atLeast"/>
                    <w:ind w:left="0" w:right="0"/>
                    <w:jc w:val="center"/>
                    <w:rPr>
                      <w:szCs w:val="21"/>
                    </w:rPr>
                  </w:pPr>
                  <w:r>
                    <w:rPr>
                      <w:szCs w:val="21"/>
                      <w:lang w:bidi="en-US"/>
                    </w:rPr>
                    <w:t>及时清运至市政部门指定的堆放点妥善堆存</w:t>
                  </w:r>
                </w:p>
              </w:tc>
              <w:tc>
                <w:tcPr>
                  <w:tcW w:w="682" w:type="pct"/>
                  <w:vAlign w:val="center"/>
                </w:tcPr>
                <w:p w14:paraId="7C8081DB">
                  <w:pPr>
                    <w:keepNext w:val="0"/>
                    <w:keepLines w:val="0"/>
                    <w:suppressLineNumbers w:val="0"/>
                    <w:spacing w:before="0" w:beforeAutospacing="0" w:after="0" w:afterAutospacing="0" w:line="240" w:lineRule="atLeast"/>
                    <w:ind w:left="0" w:right="0"/>
                    <w:jc w:val="center"/>
                    <w:rPr>
                      <w:bCs/>
                      <w:szCs w:val="21"/>
                    </w:rPr>
                  </w:pPr>
                  <w:r>
                    <w:rPr>
                      <w:bCs/>
                      <w:szCs w:val="21"/>
                    </w:rPr>
                    <w:t>5</w:t>
                  </w:r>
                </w:p>
              </w:tc>
            </w:tr>
            <w:tr w14:paraId="7456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21" w:type="pct"/>
                  <w:vMerge w:val="continue"/>
                  <w:vAlign w:val="center"/>
                </w:tcPr>
                <w:p w14:paraId="35FD9607">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71E3D3DF">
                  <w:pPr>
                    <w:keepNext w:val="0"/>
                    <w:keepLines w:val="0"/>
                    <w:suppressLineNumbers w:val="0"/>
                    <w:spacing w:before="0" w:beforeAutospacing="0" w:after="0" w:afterAutospacing="0" w:line="240" w:lineRule="atLeast"/>
                    <w:ind w:left="0" w:right="0"/>
                    <w:jc w:val="center"/>
                    <w:rPr>
                      <w:bCs/>
                      <w:szCs w:val="21"/>
                    </w:rPr>
                  </w:pPr>
                  <w:r>
                    <w:rPr>
                      <w:bCs/>
                      <w:szCs w:val="21"/>
                    </w:rPr>
                    <w:t>噪声</w:t>
                  </w:r>
                </w:p>
              </w:tc>
              <w:tc>
                <w:tcPr>
                  <w:tcW w:w="733" w:type="pct"/>
                  <w:vAlign w:val="center"/>
                </w:tcPr>
                <w:p w14:paraId="08800D28">
                  <w:pPr>
                    <w:keepNext w:val="0"/>
                    <w:keepLines w:val="0"/>
                    <w:suppressLineNumbers w:val="0"/>
                    <w:spacing w:before="0" w:beforeAutospacing="0" w:after="0" w:afterAutospacing="0" w:line="240" w:lineRule="atLeast"/>
                    <w:ind w:left="0" w:right="0"/>
                    <w:jc w:val="center"/>
                    <w:rPr>
                      <w:bCs/>
                      <w:szCs w:val="21"/>
                    </w:rPr>
                  </w:pPr>
                  <w:r>
                    <w:rPr>
                      <w:bCs/>
                      <w:szCs w:val="21"/>
                    </w:rPr>
                    <w:t>施工机械</w:t>
                  </w:r>
                </w:p>
              </w:tc>
              <w:tc>
                <w:tcPr>
                  <w:tcW w:w="2585" w:type="pct"/>
                  <w:vAlign w:val="center"/>
                </w:tcPr>
                <w:p w14:paraId="524D74ED">
                  <w:pPr>
                    <w:keepNext w:val="0"/>
                    <w:keepLines w:val="0"/>
                    <w:suppressLineNumbers w:val="0"/>
                    <w:spacing w:before="0" w:beforeAutospacing="0" w:after="0" w:afterAutospacing="0" w:line="240" w:lineRule="atLeast"/>
                    <w:ind w:left="0" w:right="0"/>
                    <w:jc w:val="center"/>
                    <w:rPr>
                      <w:szCs w:val="21"/>
                      <w:lang w:bidi="en-US"/>
                    </w:rPr>
                  </w:pPr>
                  <w:r>
                    <w:rPr>
                      <w:szCs w:val="21"/>
                      <w:lang w:bidi="en-US"/>
                    </w:rPr>
                    <w:t>采用低噪声机械设备，施工作业时间合理安排；施工机械规范操作</w:t>
                  </w:r>
                </w:p>
              </w:tc>
              <w:tc>
                <w:tcPr>
                  <w:tcW w:w="682" w:type="pct"/>
                  <w:vAlign w:val="center"/>
                </w:tcPr>
                <w:p w14:paraId="6BFFBFEC">
                  <w:pPr>
                    <w:keepNext w:val="0"/>
                    <w:keepLines w:val="0"/>
                    <w:suppressLineNumbers w:val="0"/>
                    <w:spacing w:before="0" w:beforeAutospacing="0" w:after="0" w:afterAutospacing="0" w:line="240" w:lineRule="atLeast"/>
                    <w:ind w:left="0" w:right="0"/>
                    <w:jc w:val="center"/>
                    <w:rPr>
                      <w:bCs/>
                      <w:szCs w:val="21"/>
                    </w:rPr>
                  </w:pPr>
                  <w:r>
                    <w:rPr>
                      <w:bCs/>
                      <w:szCs w:val="21"/>
                    </w:rPr>
                    <w:t>10</w:t>
                  </w:r>
                </w:p>
              </w:tc>
            </w:tr>
            <w:tr w14:paraId="03F8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7B111469">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590D7EF3">
                  <w:pPr>
                    <w:keepNext w:val="0"/>
                    <w:keepLines w:val="0"/>
                    <w:suppressLineNumbers w:val="0"/>
                    <w:spacing w:before="0" w:beforeAutospacing="0" w:after="0" w:afterAutospacing="0" w:line="240" w:lineRule="atLeast"/>
                    <w:ind w:left="0" w:right="0"/>
                    <w:jc w:val="center"/>
                    <w:rPr>
                      <w:bCs/>
                      <w:szCs w:val="21"/>
                    </w:rPr>
                  </w:pPr>
                  <w:r>
                    <w:rPr>
                      <w:bCs/>
                      <w:szCs w:val="21"/>
                    </w:rPr>
                    <w:t>生态</w:t>
                  </w:r>
                </w:p>
              </w:tc>
              <w:tc>
                <w:tcPr>
                  <w:tcW w:w="733" w:type="pct"/>
                  <w:vAlign w:val="center"/>
                </w:tcPr>
                <w:p w14:paraId="1BB32151">
                  <w:pPr>
                    <w:keepNext w:val="0"/>
                    <w:keepLines w:val="0"/>
                    <w:suppressLineNumbers w:val="0"/>
                    <w:spacing w:before="0" w:beforeAutospacing="0" w:after="0" w:afterAutospacing="0" w:line="240" w:lineRule="atLeast"/>
                    <w:ind w:left="0" w:right="0"/>
                    <w:jc w:val="center"/>
                    <w:rPr>
                      <w:bCs/>
                      <w:szCs w:val="21"/>
                    </w:rPr>
                  </w:pPr>
                  <w:r>
                    <w:rPr>
                      <w:bCs/>
                      <w:szCs w:val="21"/>
                    </w:rPr>
                    <w:t>临时用地</w:t>
                  </w:r>
                </w:p>
              </w:tc>
              <w:tc>
                <w:tcPr>
                  <w:tcW w:w="2585" w:type="pct"/>
                  <w:vAlign w:val="center"/>
                </w:tcPr>
                <w:p w14:paraId="3B456D06">
                  <w:pPr>
                    <w:keepNext w:val="0"/>
                    <w:keepLines w:val="0"/>
                    <w:suppressLineNumbers w:val="0"/>
                    <w:spacing w:before="0" w:beforeAutospacing="0" w:after="0" w:afterAutospacing="0" w:line="240" w:lineRule="atLeast"/>
                    <w:ind w:left="0" w:right="0"/>
                    <w:jc w:val="center"/>
                    <w:rPr>
                      <w:bCs/>
                      <w:szCs w:val="21"/>
                    </w:rPr>
                  </w:pPr>
                  <w:r>
                    <w:rPr>
                      <w:bCs/>
                      <w:szCs w:val="21"/>
                    </w:rPr>
                    <w:t>施工结束后进行施工迹地恢复和植被恢复</w:t>
                  </w:r>
                </w:p>
              </w:tc>
              <w:tc>
                <w:tcPr>
                  <w:tcW w:w="682" w:type="pct"/>
                  <w:vAlign w:val="center"/>
                </w:tcPr>
                <w:p w14:paraId="3C451323">
                  <w:pPr>
                    <w:keepNext w:val="0"/>
                    <w:keepLines w:val="0"/>
                    <w:suppressLineNumbers w:val="0"/>
                    <w:spacing w:before="0" w:beforeAutospacing="0" w:after="0" w:afterAutospacing="0" w:line="240" w:lineRule="atLeast"/>
                    <w:ind w:left="0" w:right="0"/>
                    <w:jc w:val="center"/>
                    <w:rPr>
                      <w:bCs/>
                      <w:szCs w:val="21"/>
                    </w:rPr>
                  </w:pPr>
                  <w:r>
                    <w:rPr>
                      <w:bCs/>
                      <w:szCs w:val="21"/>
                    </w:rPr>
                    <w:t>5</w:t>
                  </w:r>
                </w:p>
              </w:tc>
            </w:tr>
            <w:tr w14:paraId="456E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restart"/>
                  <w:vAlign w:val="center"/>
                </w:tcPr>
                <w:p w14:paraId="786DA42D">
                  <w:pPr>
                    <w:keepNext w:val="0"/>
                    <w:keepLines w:val="0"/>
                    <w:suppressLineNumbers w:val="0"/>
                    <w:spacing w:before="0" w:beforeAutospacing="0" w:after="0" w:afterAutospacing="0" w:line="240" w:lineRule="atLeast"/>
                    <w:ind w:left="0" w:right="0"/>
                    <w:jc w:val="center"/>
                    <w:rPr>
                      <w:bCs/>
                      <w:szCs w:val="21"/>
                    </w:rPr>
                  </w:pPr>
                  <w:r>
                    <w:rPr>
                      <w:bCs/>
                      <w:szCs w:val="21"/>
                    </w:rPr>
                    <w:t>运营期</w:t>
                  </w:r>
                </w:p>
              </w:tc>
              <w:tc>
                <w:tcPr>
                  <w:tcW w:w="477" w:type="pct"/>
                  <w:vAlign w:val="center"/>
                </w:tcPr>
                <w:p w14:paraId="2AF28FE6">
                  <w:pPr>
                    <w:keepNext w:val="0"/>
                    <w:keepLines w:val="0"/>
                    <w:suppressLineNumbers w:val="0"/>
                    <w:spacing w:before="0" w:beforeAutospacing="0" w:after="0" w:afterAutospacing="0" w:line="240" w:lineRule="atLeast"/>
                    <w:ind w:left="0" w:right="0"/>
                    <w:jc w:val="center"/>
                    <w:rPr>
                      <w:bCs/>
                      <w:szCs w:val="21"/>
                    </w:rPr>
                  </w:pPr>
                  <w:r>
                    <w:rPr>
                      <w:bCs/>
                      <w:szCs w:val="21"/>
                    </w:rPr>
                    <w:t>废气</w:t>
                  </w:r>
                </w:p>
              </w:tc>
              <w:tc>
                <w:tcPr>
                  <w:tcW w:w="733" w:type="pct"/>
                  <w:vAlign w:val="center"/>
                </w:tcPr>
                <w:p w14:paraId="15BBD87B">
                  <w:pPr>
                    <w:pStyle w:val="36"/>
                    <w:keepNext w:val="0"/>
                    <w:keepLines w:val="0"/>
                    <w:suppressLineNumbers w:val="0"/>
                    <w:spacing w:before="31" w:beforeAutospacing="0" w:after="31" w:afterAutospacing="0" w:line="240" w:lineRule="auto"/>
                    <w:ind w:left="0" w:right="0"/>
                    <w:rPr>
                      <w:rFonts w:hAnsi="Times New Roman"/>
                      <w:sz w:val="21"/>
                      <w:szCs w:val="21"/>
                    </w:rPr>
                  </w:pPr>
                  <w:r>
                    <w:rPr>
                      <w:rFonts w:hAnsi="Times New Roman"/>
                      <w:sz w:val="21"/>
                      <w:szCs w:val="21"/>
                    </w:rPr>
                    <w:t>食堂油烟</w:t>
                  </w:r>
                </w:p>
              </w:tc>
              <w:tc>
                <w:tcPr>
                  <w:tcW w:w="2585" w:type="pct"/>
                  <w:vAlign w:val="center"/>
                </w:tcPr>
                <w:p w14:paraId="14D7FA43">
                  <w:pPr>
                    <w:pStyle w:val="36"/>
                    <w:keepNext w:val="0"/>
                    <w:keepLines w:val="0"/>
                    <w:suppressLineNumbers w:val="0"/>
                    <w:spacing w:before="31" w:beforeAutospacing="0" w:after="31" w:afterAutospacing="0" w:line="240" w:lineRule="auto"/>
                    <w:ind w:left="0" w:right="0"/>
                    <w:rPr>
                      <w:rFonts w:hAnsi="Times New Roman"/>
                      <w:sz w:val="21"/>
                      <w:szCs w:val="21"/>
                    </w:rPr>
                  </w:pPr>
                  <w:r>
                    <w:rPr>
                      <w:rFonts w:hAnsi="Times New Roman"/>
                      <w:sz w:val="21"/>
                      <w:szCs w:val="21"/>
                      <w:lang w:val="zh-CN"/>
                    </w:rPr>
                    <w:t>食堂安装油烟净化器1套</w:t>
                  </w:r>
                </w:p>
              </w:tc>
              <w:tc>
                <w:tcPr>
                  <w:tcW w:w="682" w:type="pct"/>
                  <w:vAlign w:val="center"/>
                </w:tcPr>
                <w:p w14:paraId="4216E433">
                  <w:pPr>
                    <w:keepNext w:val="0"/>
                    <w:keepLines w:val="0"/>
                    <w:suppressLineNumbers w:val="0"/>
                    <w:spacing w:before="0" w:beforeAutospacing="0" w:after="0" w:afterAutospacing="0" w:line="240" w:lineRule="atLeast"/>
                    <w:ind w:left="0" w:right="0"/>
                    <w:jc w:val="center"/>
                    <w:rPr>
                      <w:bCs/>
                      <w:szCs w:val="21"/>
                    </w:rPr>
                  </w:pPr>
                  <w:r>
                    <w:rPr>
                      <w:bCs/>
                      <w:szCs w:val="21"/>
                    </w:rPr>
                    <w:t>0.5</w:t>
                  </w:r>
                </w:p>
              </w:tc>
            </w:tr>
            <w:tr w14:paraId="7A58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7EC6DB63">
                  <w:pPr>
                    <w:keepNext w:val="0"/>
                    <w:keepLines w:val="0"/>
                    <w:suppressLineNumbers w:val="0"/>
                    <w:spacing w:before="0" w:beforeAutospacing="0" w:after="0" w:afterAutospacing="0" w:line="240" w:lineRule="atLeast"/>
                    <w:ind w:left="0" w:right="0"/>
                    <w:jc w:val="center"/>
                    <w:rPr>
                      <w:bCs/>
                      <w:szCs w:val="21"/>
                    </w:rPr>
                  </w:pPr>
                </w:p>
              </w:tc>
              <w:tc>
                <w:tcPr>
                  <w:tcW w:w="477" w:type="pct"/>
                  <w:vMerge w:val="restart"/>
                  <w:vAlign w:val="center"/>
                </w:tcPr>
                <w:p w14:paraId="6CF31BB2">
                  <w:pPr>
                    <w:keepNext w:val="0"/>
                    <w:keepLines w:val="0"/>
                    <w:suppressLineNumbers w:val="0"/>
                    <w:spacing w:before="0" w:beforeAutospacing="0" w:after="0" w:afterAutospacing="0" w:line="240" w:lineRule="atLeast"/>
                    <w:ind w:left="0" w:right="0"/>
                    <w:jc w:val="center"/>
                    <w:rPr>
                      <w:bCs/>
                      <w:szCs w:val="21"/>
                    </w:rPr>
                  </w:pPr>
                  <w:r>
                    <w:rPr>
                      <w:bCs/>
                      <w:szCs w:val="21"/>
                    </w:rPr>
                    <w:t>废水</w:t>
                  </w:r>
                </w:p>
              </w:tc>
              <w:tc>
                <w:tcPr>
                  <w:tcW w:w="733" w:type="pct"/>
                  <w:vAlign w:val="center"/>
                </w:tcPr>
                <w:p w14:paraId="0184B2BF">
                  <w:pPr>
                    <w:keepNext w:val="0"/>
                    <w:keepLines w:val="0"/>
                    <w:suppressLineNumbers w:val="0"/>
                    <w:spacing w:before="0" w:beforeAutospacing="0" w:after="0" w:afterAutospacing="0" w:line="240" w:lineRule="atLeast"/>
                    <w:ind w:left="0" w:right="0"/>
                    <w:jc w:val="center"/>
                    <w:rPr>
                      <w:bCs/>
                      <w:szCs w:val="21"/>
                    </w:rPr>
                  </w:pPr>
                  <w:r>
                    <w:rPr>
                      <w:bCs/>
                      <w:szCs w:val="21"/>
                    </w:rPr>
                    <w:t>生活污水</w:t>
                  </w:r>
                </w:p>
              </w:tc>
              <w:tc>
                <w:tcPr>
                  <w:tcW w:w="2585" w:type="pct"/>
                  <w:vAlign w:val="center"/>
                </w:tcPr>
                <w:p w14:paraId="26688BEE">
                  <w:pPr>
                    <w:keepNext w:val="0"/>
                    <w:keepLines w:val="0"/>
                    <w:suppressLineNumbers w:val="0"/>
                    <w:spacing w:before="0" w:beforeAutospacing="0" w:after="0" w:afterAutospacing="0" w:line="240" w:lineRule="atLeast"/>
                    <w:ind w:left="0" w:right="0"/>
                    <w:jc w:val="center"/>
                    <w:rPr>
                      <w:bCs/>
                      <w:szCs w:val="21"/>
                    </w:rPr>
                  </w:pPr>
                  <w:r>
                    <w:rPr>
                      <w:szCs w:val="21"/>
                    </w:rPr>
                    <w:t>新建一套处理能力为0.5m</w:t>
                  </w:r>
                  <w:r>
                    <w:rPr>
                      <w:szCs w:val="21"/>
                      <w:vertAlign w:val="superscript"/>
                    </w:rPr>
                    <w:t>3</w:t>
                  </w:r>
                  <w:r>
                    <w:rPr>
                      <w:szCs w:val="21"/>
                    </w:rPr>
                    <w:t>/h的地埋式一体化污水处理设施，新建150m</w:t>
                  </w:r>
                  <w:r>
                    <w:rPr>
                      <w:szCs w:val="21"/>
                      <w:vertAlign w:val="superscript"/>
                    </w:rPr>
                    <w:t>3</w:t>
                  </w:r>
                  <w:r>
                    <w:rPr>
                      <w:szCs w:val="21"/>
                    </w:rPr>
                    <w:t>防渗集水池1座</w:t>
                  </w:r>
                </w:p>
              </w:tc>
              <w:tc>
                <w:tcPr>
                  <w:tcW w:w="682" w:type="pct"/>
                  <w:vAlign w:val="center"/>
                </w:tcPr>
                <w:p w14:paraId="7814B1B8">
                  <w:pPr>
                    <w:keepNext w:val="0"/>
                    <w:keepLines w:val="0"/>
                    <w:suppressLineNumbers w:val="0"/>
                    <w:spacing w:before="0" w:beforeAutospacing="0" w:after="0" w:afterAutospacing="0" w:line="240" w:lineRule="atLeast"/>
                    <w:ind w:left="0" w:right="0"/>
                    <w:jc w:val="center"/>
                    <w:rPr>
                      <w:bCs/>
                      <w:szCs w:val="21"/>
                    </w:rPr>
                  </w:pPr>
                  <w:r>
                    <w:rPr>
                      <w:bCs/>
                      <w:szCs w:val="21"/>
                    </w:rPr>
                    <w:t>30</w:t>
                  </w:r>
                </w:p>
              </w:tc>
            </w:tr>
            <w:tr w14:paraId="4852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651ADFC6">
                  <w:pPr>
                    <w:keepNext w:val="0"/>
                    <w:keepLines w:val="0"/>
                    <w:suppressLineNumbers w:val="0"/>
                    <w:spacing w:before="0" w:beforeAutospacing="0" w:after="0" w:afterAutospacing="0" w:line="240" w:lineRule="atLeast"/>
                    <w:ind w:left="0" w:right="0"/>
                    <w:jc w:val="center"/>
                    <w:rPr>
                      <w:bCs/>
                      <w:szCs w:val="21"/>
                    </w:rPr>
                  </w:pPr>
                </w:p>
              </w:tc>
              <w:tc>
                <w:tcPr>
                  <w:tcW w:w="477" w:type="pct"/>
                  <w:vMerge w:val="continue"/>
                  <w:vAlign w:val="center"/>
                </w:tcPr>
                <w:p w14:paraId="24266C04">
                  <w:pPr>
                    <w:keepNext w:val="0"/>
                    <w:keepLines w:val="0"/>
                    <w:suppressLineNumbers w:val="0"/>
                    <w:spacing w:before="0" w:beforeAutospacing="0" w:after="0" w:afterAutospacing="0" w:line="240" w:lineRule="atLeast"/>
                    <w:ind w:left="0" w:right="0"/>
                    <w:jc w:val="center"/>
                    <w:rPr>
                      <w:bCs/>
                      <w:szCs w:val="21"/>
                    </w:rPr>
                  </w:pPr>
                </w:p>
              </w:tc>
              <w:tc>
                <w:tcPr>
                  <w:tcW w:w="733" w:type="pct"/>
                  <w:vAlign w:val="center"/>
                </w:tcPr>
                <w:p w14:paraId="0C9E322E">
                  <w:pPr>
                    <w:keepNext w:val="0"/>
                    <w:keepLines w:val="0"/>
                    <w:suppressLineNumbers w:val="0"/>
                    <w:spacing w:before="0" w:beforeAutospacing="0" w:after="0" w:afterAutospacing="0" w:line="240" w:lineRule="atLeast"/>
                    <w:ind w:left="0" w:right="0"/>
                    <w:jc w:val="center"/>
                    <w:rPr>
                      <w:bCs/>
                      <w:szCs w:val="21"/>
                    </w:rPr>
                  </w:pPr>
                  <w:r>
                    <w:rPr>
                      <w:bCs/>
                      <w:szCs w:val="21"/>
                    </w:rPr>
                    <w:t>餐饮废水</w:t>
                  </w:r>
                </w:p>
              </w:tc>
              <w:tc>
                <w:tcPr>
                  <w:tcW w:w="2585" w:type="pct"/>
                  <w:vAlign w:val="center"/>
                </w:tcPr>
                <w:p w14:paraId="6254855A">
                  <w:pPr>
                    <w:keepNext w:val="0"/>
                    <w:keepLines w:val="0"/>
                    <w:suppressLineNumbers w:val="0"/>
                    <w:spacing w:before="0" w:beforeAutospacing="0" w:after="0" w:afterAutospacing="0" w:line="240" w:lineRule="atLeast"/>
                    <w:ind w:left="0" w:right="0"/>
                    <w:jc w:val="center"/>
                    <w:rPr>
                      <w:bCs/>
                      <w:szCs w:val="21"/>
                    </w:rPr>
                  </w:pPr>
                  <w:r>
                    <w:rPr>
                      <w:szCs w:val="21"/>
                    </w:rPr>
                    <w:t>新建隔油池1个</w:t>
                  </w:r>
                </w:p>
              </w:tc>
              <w:tc>
                <w:tcPr>
                  <w:tcW w:w="682" w:type="pct"/>
                  <w:vAlign w:val="center"/>
                </w:tcPr>
                <w:p w14:paraId="38F6C936">
                  <w:pPr>
                    <w:keepNext w:val="0"/>
                    <w:keepLines w:val="0"/>
                    <w:suppressLineNumbers w:val="0"/>
                    <w:spacing w:before="0" w:beforeAutospacing="0" w:after="0" w:afterAutospacing="0" w:line="240" w:lineRule="atLeast"/>
                    <w:ind w:left="0" w:right="0"/>
                    <w:jc w:val="center"/>
                    <w:rPr>
                      <w:bCs/>
                      <w:szCs w:val="21"/>
                    </w:rPr>
                  </w:pPr>
                  <w:r>
                    <w:rPr>
                      <w:bCs/>
                      <w:szCs w:val="21"/>
                    </w:rPr>
                    <w:t>0.5</w:t>
                  </w:r>
                </w:p>
              </w:tc>
            </w:tr>
            <w:tr w14:paraId="6D47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2E683BD8">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76CBD475">
                  <w:pPr>
                    <w:keepNext w:val="0"/>
                    <w:keepLines w:val="0"/>
                    <w:suppressLineNumbers w:val="0"/>
                    <w:spacing w:before="0" w:beforeAutospacing="0" w:after="0" w:afterAutospacing="0" w:line="240" w:lineRule="atLeast"/>
                    <w:ind w:left="0" w:right="0"/>
                    <w:jc w:val="center"/>
                    <w:rPr>
                      <w:bCs/>
                      <w:szCs w:val="21"/>
                    </w:rPr>
                  </w:pPr>
                  <w:r>
                    <w:rPr>
                      <w:bCs/>
                      <w:szCs w:val="21"/>
                    </w:rPr>
                    <w:t>噪声</w:t>
                  </w:r>
                </w:p>
              </w:tc>
              <w:tc>
                <w:tcPr>
                  <w:tcW w:w="733" w:type="pct"/>
                  <w:vAlign w:val="center"/>
                </w:tcPr>
                <w:p w14:paraId="7B6BF51E">
                  <w:pPr>
                    <w:pStyle w:val="35"/>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szCs w:val="21"/>
                    </w:rPr>
                  </w:pPr>
                  <w:r>
                    <w:rPr>
                      <w:szCs w:val="21"/>
                    </w:rPr>
                    <w:t>设备噪声</w:t>
                  </w:r>
                </w:p>
              </w:tc>
              <w:tc>
                <w:tcPr>
                  <w:tcW w:w="2585" w:type="pct"/>
                  <w:vAlign w:val="center"/>
                </w:tcPr>
                <w:p w14:paraId="28454D83">
                  <w:pPr>
                    <w:pStyle w:val="35"/>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szCs w:val="21"/>
                    </w:rPr>
                  </w:pPr>
                  <w:r>
                    <w:rPr>
                      <w:szCs w:val="21"/>
                      <w:lang w:bidi="en-US"/>
                    </w:rPr>
                    <w:t>隔音、减振措施</w:t>
                  </w:r>
                </w:p>
              </w:tc>
              <w:tc>
                <w:tcPr>
                  <w:tcW w:w="682" w:type="pct"/>
                  <w:vAlign w:val="center"/>
                </w:tcPr>
                <w:p w14:paraId="6B9123E1">
                  <w:pPr>
                    <w:pStyle w:val="35"/>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szCs w:val="21"/>
                    </w:rPr>
                  </w:pPr>
                  <w:r>
                    <w:rPr>
                      <w:szCs w:val="21"/>
                    </w:rPr>
                    <w:t>8</w:t>
                  </w:r>
                </w:p>
              </w:tc>
            </w:tr>
            <w:tr w14:paraId="0BB1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447EBD10">
                  <w:pPr>
                    <w:keepNext w:val="0"/>
                    <w:keepLines w:val="0"/>
                    <w:suppressLineNumbers w:val="0"/>
                    <w:spacing w:before="0" w:beforeAutospacing="0" w:after="0" w:afterAutospacing="0" w:line="240" w:lineRule="atLeast"/>
                    <w:ind w:left="0" w:right="0"/>
                    <w:jc w:val="center"/>
                    <w:rPr>
                      <w:bCs/>
                      <w:szCs w:val="21"/>
                    </w:rPr>
                  </w:pPr>
                </w:p>
              </w:tc>
              <w:tc>
                <w:tcPr>
                  <w:tcW w:w="477" w:type="pct"/>
                  <w:vMerge w:val="restart"/>
                  <w:vAlign w:val="center"/>
                </w:tcPr>
                <w:p w14:paraId="51B663BE">
                  <w:pPr>
                    <w:keepNext w:val="0"/>
                    <w:keepLines w:val="0"/>
                    <w:suppressLineNumbers w:val="0"/>
                    <w:spacing w:before="0" w:beforeAutospacing="0" w:after="0" w:afterAutospacing="0" w:line="240" w:lineRule="atLeast"/>
                    <w:ind w:left="0" w:right="0"/>
                    <w:jc w:val="center"/>
                    <w:rPr>
                      <w:bCs/>
                      <w:szCs w:val="21"/>
                    </w:rPr>
                  </w:pPr>
                  <w:r>
                    <w:rPr>
                      <w:bCs/>
                      <w:szCs w:val="21"/>
                    </w:rPr>
                    <w:t>固废</w:t>
                  </w:r>
                </w:p>
              </w:tc>
              <w:tc>
                <w:tcPr>
                  <w:tcW w:w="733" w:type="pct"/>
                  <w:vAlign w:val="center"/>
                </w:tcPr>
                <w:p w14:paraId="5EDD874B">
                  <w:pPr>
                    <w:keepNext w:val="0"/>
                    <w:keepLines w:val="0"/>
                    <w:suppressLineNumbers w:val="0"/>
                    <w:spacing w:before="0" w:beforeAutospacing="0" w:after="0" w:afterAutospacing="0" w:line="240" w:lineRule="atLeast"/>
                    <w:ind w:left="0" w:right="0"/>
                    <w:jc w:val="center"/>
                    <w:rPr>
                      <w:bCs/>
                      <w:szCs w:val="21"/>
                    </w:rPr>
                  </w:pPr>
                  <w:r>
                    <w:rPr>
                      <w:szCs w:val="21"/>
                    </w:rPr>
                    <w:t>生活垃圾、</w:t>
                  </w:r>
                  <w:r>
                    <w:rPr>
                      <w:szCs w:val="21"/>
                      <w:lang w:val="zh-CN"/>
                    </w:rPr>
                    <w:t>食堂隔油池油泥</w:t>
                  </w:r>
                </w:p>
              </w:tc>
              <w:tc>
                <w:tcPr>
                  <w:tcW w:w="2585" w:type="pct"/>
                  <w:vAlign w:val="center"/>
                </w:tcPr>
                <w:p w14:paraId="6F770EB8">
                  <w:pPr>
                    <w:keepNext w:val="0"/>
                    <w:keepLines w:val="0"/>
                    <w:suppressLineNumbers w:val="0"/>
                    <w:spacing w:before="0" w:beforeAutospacing="0" w:after="0" w:afterAutospacing="0" w:line="240" w:lineRule="atLeast"/>
                    <w:ind w:left="0" w:right="0"/>
                    <w:jc w:val="center"/>
                    <w:rPr>
                      <w:bCs/>
                      <w:szCs w:val="21"/>
                    </w:rPr>
                  </w:pPr>
                  <w:r>
                    <w:rPr>
                      <w:szCs w:val="21"/>
                    </w:rPr>
                    <w:t>设置带盖垃圾箱5个</w:t>
                  </w:r>
                </w:p>
              </w:tc>
              <w:tc>
                <w:tcPr>
                  <w:tcW w:w="682" w:type="pct"/>
                  <w:vAlign w:val="center"/>
                </w:tcPr>
                <w:p w14:paraId="01C474C8">
                  <w:pPr>
                    <w:keepNext w:val="0"/>
                    <w:keepLines w:val="0"/>
                    <w:suppressLineNumbers w:val="0"/>
                    <w:spacing w:before="0" w:beforeAutospacing="0" w:after="0" w:afterAutospacing="0" w:line="240" w:lineRule="atLeast"/>
                    <w:ind w:left="0" w:right="0"/>
                    <w:jc w:val="center"/>
                    <w:rPr>
                      <w:bCs/>
                      <w:szCs w:val="21"/>
                    </w:rPr>
                  </w:pPr>
                  <w:r>
                    <w:rPr>
                      <w:bCs/>
                      <w:szCs w:val="21"/>
                    </w:rPr>
                    <w:t>0.5</w:t>
                  </w:r>
                </w:p>
              </w:tc>
            </w:tr>
            <w:tr w14:paraId="6A1D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63F35943">
                  <w:pPr>
                    <w:keepNext w:val="0"/>
                    <w:keepLines w:val="0"/>
                    <w:suppressLineNumbers w:val="0"/>
                    <w:spacing w:before="0" w:beforeAutospacing="0" w:after="0" w:afterAutospacing="0" w:line="240" w:lineRule="atLeast"/>
                    <w:ind w:left="0" w:right="0"/>
                    <w:jc w:val="center"/>
                    <w:rPr>
                      <w:bCs/>
                      <w:szCs w:val="21"/>
                    </w:rPr>
                  </w:pPr>
                </w:p>
              </w:tc>
              <w:tc>
                <w:tcPr>
                  <w:tcW w:w="477" w:type="pct"/>
                  <w:vMerge w:val="continue"/>
                  <w:vAlign w:val="center"/>
                </w:tcPr>
                <w:p w14:paraId="65387ED5">
                  <w:pPr>
                    <w:keepNext w:val="0"/>
                    <w:keepLines w:val="0"/>
                    <w:suppressLineNumbers w:val="0"/>
                    <w:spacing w:before="0" w:beforeAutospacing="0" w:after="0" w:afterAutospacing="0" w:line="240" w:lineRule="atLeast"/>
                    <w:ind w:left="0" w:right="0"/>
                    <w:jc w:val="center"/>
                    <w:rPr>
                      <w:bCs/>
                      <w:szCs w:val="21"/>
                    </w:rPr>
                  </w:pPr>
                </w:p>
              </w:tc>
              <w:tc>
                <w:tcPr>
                  <w:tcW w:w="733" w:type="pct"/>
                  <w:vAlign w:val="center"/>
                </w:tcPr>
                <w:p w14:paraId="6750FE2A">
                  <w:pPr>
                    <w:keepNext w:val="0"/>
                    <w:keepLines w:val="0"/>
                    <w:suppressLineNumbers w:val="0"/>
                    <w:spacing w:before="0" w:beforeAutospacing="0" w:after="0" w:afterAutospacing="0" w:line="240" w:lineRule="atLeast"/>
                    <w:ind w:left="0" w:right="0"/>
                    <w:jc w:val="center"/>
                    <w:rPr>
                      <w:bCs/>
                      <w:szCs w:val="21"/>
                    </w:rPr>
                  </w:pPr>
                  <w:r>
                    <w:rPr>
                      <w:bCs/>
                      <w:szCs w:val="21"/>
                    </w:rPr>
                    <w:t>危废暂存间</w:t>
                  </w:r>
                </w:p>
              </w:tc>
              <w:tc>
                <w:tcPr>
                  <w:tcW w:w="2585" w:type="pct"/>
                  <w:vAlign w:val="center"/>
                </w:tcPr>
                <w:p w14:paraId="58036F55">
                  <w:pPr>
                    <w:keepNext w:val="0"/>
                    <w:keepLines w:val="0"/>
                    <w:suppressLineNumbers w:val="0"/>
                    <w:spacing w:before="0" w:beforeAutospacing="0" w:after="0" w:afterAutospacing="0" w:line="240" w:lineRule="atLeast"/>
                    <w:ind w:left="0" w:right="0"/>
                    <w:jc w:val="center"/>
                    <w:rPr>
                      <w:szCs w:val="21"/>
                      <w:lang w:val="zh-CN"/>
                    </w:rPr>
                  </w:pPr>
                  <w:r>
                    <w:rPr>
                      <w:szCs w:val="21"/>
                      <w:lang w:val="zh-CN"/>
                    </w:rPr>
                    <w:t>新建1间危废暂存间，占地面积20m</w:t>
                  </w:r>
                  <w:r>
                    <w:rPr>
                      <w:szCs w:val="21"/>
                      <w:vertAlign w:val="superscript"/>
                      <w:lang w:val="zh-CN"/>
                    </w:rPr>
                    <w:t>2</w:t>
                  </w:r>
                  <w:r>
                    <w:rPr>
                      <w:szCs w:val="21"/>
                      <w:lang w:val="zh-CN"/>
                    </w:rPr>
                    <w:t>，危险废物暂存于危废暂存间，最终交给有危险废物处置资质的单位转移处置</w:t>
                  </w:r>
                </w:p>
              </w:tc>
              <w:tc>
                <w:tcPr>
                  <w:tcW w:w="682" w:type="pct"/>
                  <w:vAlign w:val="center"/>
                </w:tcPr>
                <w:p w14:paraId="44251F99">
                  <w:pPr>
                    <w:keepNext w:val="0"/>
                    <w:keepLines w:val="0"/>
                    <w:suppressLineNumbers w:val="0"/>
                    <w:spacing w:before="0" w:beforeAutospacing="0" w:after="0" w:afterAutospacing="0" w:line="240" w:lineRule="atLeast"/>
                    <w:ind w:left="0" w:right="0"/>
                    <w:jc w:val="center"/>
                    <w:rPr>
                      <w:bCs/>
                      <w:szCs w:val="21"/>
                    </w:rPr>
                  </w:pPr>
                  <w:r>
                    <w:rPr>
                      <w:bCs/>
                      <w:szCs w:val="21"/>
                    </w:rPr>
                    <w:t>10</w:t>
                  </w:r>
                </w:p>
              </w:tc>
            </w:tr>
            <w:tr w14:paraId="7D43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5B186C7F">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227F5924">
                  <w:pPr>
                    <w:keepNext w:val="0"/>
                    <w:keepLines w:val="0"/>
                    <w:suppressLineNumbers w:val="0"/>
                    <w:spacing w:before="0" w:beforeAutospacing="0" w:after="0" w:afterAutospacing="0" w:line="240" w:lineRule="atLeast"/>
                    <w:ind w:left="0" w:right="0"/>
                    <w:jc w:val="center"/>
                    <w:rPr>
                      <w:bCs/>
                      <w:szCs w:val="21"/>
                    </w:rPr>
                  </w:pPr>
                  <w:r>
                    <w:rPr>
                      <w:szCs w:val="21"/>
                    </w:rPr>
                    <w:t>环境风险</w:t>
                  </w:r>
                </w:p>
              </w:tc>
              <w:tc>
                <w:tcPr>
                  <w:tcW w:w="3318" w:type="pct"/>
                  <w:gridSpan w:val="2"/>
                  <w:vAlign w:val="center"/>
                </w:tcPr>
                <w:p w14:paraId="088C6E87">
                  <w:pPr>
                    <w:keepNext w:val="0"/>
                    <w:keepLines w:val="0"/>
                    <w:suppressLineNumbers w:val="0"/>
                    <w:spacing w:before="0" w:beforeAutospacing="0" w:after="0" w:afterAutospacing="0" w:line="240" w:lineRule="atLeast"/>
                    <w:ind w:left="0" w:right="0"/>
                    <w:jc w:val="center"/>
                    <w:rPr>
                      <w:szCs w:val="21"/>
                    </w:rPr>
                  </w:pPr>
                  <w:r>
                    <w:rPr>
                      <w:szCs w:val="21"/>
                      <w:lang w:val="zh-CN"/>
                    </w:rPr>
                    <w:t>在主变底部设地下钢筋混凝土贮油坑，设计容积</w:t>
                  </w:r>
                  <w:r>
                    <w:rPr>
                      <w:rFonts w:hint="eastAsia"/>
                      <w:szCs w:val="21"/>
                    </w:rPr>
                    <w:t>1</w:t>
                  </w:r>
                  <w:r>
                    <w:rPr>
                      <w:szCs w:val="21"/>
                      <w:lang w:val="zh-CN"/>
                    </w:rPr>
                    <w:t>5</w:t>
                  </w:r>
                  <w:r>
                    <w:rPr>
                      <w:szCs w:val="21"/>
                    </w:rPr>
                    <w:t>m³</w:t>
                  </w:r>
                  <w:r>
                    <w:rPr>
                      <w:szCs w:val="21"/>
                      <w:lang w:val="zh-CN"/>
                    </w:rPr>
                    <w:t>，贮油坑四周设挡油坎，高出地面100mm。本项目设计在升压站内建设事故油池1座(容积</w:t>
                  </w:r>
                  <w:r>
                    <w:rPr>
                      <w:rFonts w:hint="eastAsia"/>
                      <w:szCs w:val="21"/>
                    </w:rPr>
                    <w:t>7</w:t>
                  </w:r>
                  <w:r>
                    <w:rPr>
                      <w:szCs w:val="21"/>
                    </w:rPr>
                    <w:t>0m³</w:t>
                  </w:r>
                  <w:r>
                    <w:rPr>
                      <w:szCs w:val="21"/>
                      <w:lang w:val="zh-CN"/>
                    </w:rPr>
                    <w:t>)，可使变压器在发生事故时，壳体内的油经过铸铁管排入事故油池，防止变压器油随意乱排造成对环境的污染，在可能发生油品泄漏的部位设置监控探头，站区的出入口、边界及安防监控中心设视频监控系统</w:t>
                  </w:r>
                </w:p>
              </w:tc>
              <w:tc>
                <w:tcPr>
                  <w:tcW w:w="682" w:type="pct"/>
                  <w:vAlign w:val="center"/>
                </w:tcPr>
                <w:p w14:paraId="0EEF0092">
                  <w:pPr>
                    <w:keepNext w:val="0"/>
                    <w:keepLines w:val="0"/>
                    <w:suppressLineNumbers w:val="0"/>
                    <w:spacing w:before="0" w:beforeAutospacing="0" w:after="0" w:afterAutospacing="0" w:line="240" w:lineRule="atLeast"/>
                    <w:ind w:left="0" w:right="0"/>
                    <w:jc w:val="center"/>
                    <w:rPr>
                      <w:bCs/>
                      <w:szCs w:val="21"/>
                    </w:rPr>
                  </w:pPr>
                  <w:r>
                    <w:rPr>
                      <w:bCs/>
                      <w:szCs w:val="21"/>
                    </w:rPr>
                    <w:t>240</w:t>
                  </w:r>
                </w:p>
              </w:tc>
            </w:tr>
            <w:tr w14:paraId="2E16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7885BE66">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05AE2384">
                  <w:pPr>
                    <w:keepNext w:val="0"/>
                    <w:keepLines w:val="0"/>
                    <w:suppressLineNumbers w:val="0"/>
                    <w:spacing w:before="0" w:beforeAutospacing="0" w:after="0" w:afterAutospacing="0" w:line="240" w:lineRule="atLeast"/>
                    <w:ind w:left="0" w:right="0"/>
                    <w:jc w:val="center"/>
                    <w:rPr>
                      <w:bCs/>
                      <w:szCs w:val="21"/>
                    </w:rPr>
                  </w:pPr>
                  <w:r>
                    <w:rPr>
                      <w:bCs/>
                      <w:szCs w:val="21"/>
                    </w:rPr>
                    <w:t>生态</w:t>
                  </w:r>
                </w:p>
              </w:tc>
              <w:tc>
                <w:tcPr>
                  <w:tcW w:w="3318" w:type="pct"/>
                  <w:gridSpan w:val="2"/>
                  <w:vAlign w:val="center"/>
                </w:tcPr>
                <w:p w14:paraId="70EAFADF">
                  <w:pPr>
                    <w:keepNext w:val="0"/>
                    <w:keepLines w:val="0"/>
                    <w:suppressLineNumbers w:val="0"/>
                    <w:spacing w:before="0" w:beforeAutospacing="0" w:after="0" w:afterAutospacing="0" w:line="240" w:lineRule="atLeast"/>
                    <w:ind w:left="0" w:right="0"/>
                    <w:jc w:val="center"/>
                    <w:rPr>
                      <w:bCs/>
                      <w:szCs w:val="21"/>
                    </w:rPr>
                  </w:pPr>
                  <w:r>
                    <w:rPr>
                      <w:szCs w:val="21"/>
                      <w:lang w:val="zh-CN"/>
                    </w:rPr>
                    <w:t>植被恢复、生态补偿</w:t>
                  </w:r>
                </w:p>
              </w:tc>
              <w:tc>
                <w:tcPr>
                  <w:tcW w:w="682" w:type="pct"/>
                  <w:vAlign w:val="center"/>
                </w:tcPr>
                <w:p w14:paraId="3A1B5DF6">
                  <w:pPr>
                    <w:keepNext w:val="0"/>
                    <w:keepLines w:val="0"/>
                    <w:suppressLineNumbers w:val="0"/>
                    <w:spacing w:before="0" w:beforeAutospacing="0" w:after="0" w:afterAutospacing="0" w:line="240" w:lineRule="atLeast"/>
                    <w:ind w:left="0" w:right="0"/>
                    <w:jc w:val="center"/>
                    <w:rPr>
                      <w:bCs/>
                      <w:szCs w:val="21"/>
                    </w:rPr>
                  </w:pPr>
                  <w:r>
                    <w:rPr>
                      <w:bCs/>
                      <w:szCs w:val="21"/>
                    </w:rPr>
                    <w:t>10</w:t>
                  </w:r>
                </w:p>
              </w:tc>
            </w:tr>
            <w:tr w14:paraId="04F2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1" w:type="pct"/>
                  <w:vMerge w:val="continue"/>
                  <w:vAlign w:val="center"/>
                </w:tcPr>
                <w:p w14:paraId="7A8B312B">
                  <w:pPr>
                    <w:keepNext w:val="0"/>
                    <w:keepLines w:val="0"/>
                    <w:suppressLineNumbers w:val="0"/>
                    <w:spacing w:before="0" w:beforeAutospacing="0" w:after="0" w:afterAutospacing="0" w:line="240" w:lineRule="atLeast"/>
                    <w:ind w:left="0" w:right="0"/>
                    <w:jc w:val="center"/>
                    <w:rPr>
                      <w:bCs/>
                      <w:szCs w:val="21"/>
                    </w:rPr>
                  </w:pPr>
                </w:p>
              </w:tc>
              <w:tc>
                <w:tcPr>
                  <w:tcW w:w="477" w:type="pct"/>
                  <w:vAlign w:val="center"/>
                </w:tcPr>
                <w:p w14:paraId="1734BCA4">
                  <w:pPr>
                    <w:keepNext w:val="0"/>
                    <w:keepLines w:val="0"/>
                    <w:suppressLineNumbers w:val="0"/>
                    <w:spacing w:before="0" w:beforeAutospacing="0" w:after="0" w:afterAutospacing="0" w:line="240" w:lineRule="atLeast"/>
                    <w:ind w:left="0" w:right="0"/>
                    <w:jc w:val="center"/>
                    <w:rPr>
                      <w:bCs/>
                      <w:szCs w:val="21"/>
                    </w:rPr>
                  </w:pPr>
                  <w:r>
                    <w:rPr>
                      <w:bCs/>
                      <w:szCs w:val="21"/>
                    </w:rPr>
                    <w:t>其他</w:t>
                  </w:r>
                </w:p>
              </w:tc>
              <w:tc>
                <w:tcPr>
                  <w:tcW w:w="3318" w:type="pct"/>
                  <w:gridSpan w:val="2"/>
                  <w:vAlign w:val="center"/>
                </w:tcPr>
                <w:p w14:paraId="2450540F">
                  <w:pPr>
                    <w:keepNext w:val="0"/>
                    <w:keepLines w:val="0"/>
                    <w:suppressLineNumbers w:val="0"/>
                    <w:spacing w:before="0" w:beforeAutospacing="0" w:after="0" w:afterAutospacing="0" w:line="240" w:lineRule="atLeast"/>
                    <w:ind w:left="0" w:right="0"/>
                    <w:jc w:val="center"/>
                    <w:rPr>
                      <w:szCs w:val="21"/>
                      <w:lang w:val="zh-CN"/>
                    </w:rPr>
                  </w:pPr>
                  <w:r>
                    <w:rPr>
                      <w:szCs w:val="21"/>
                      <w:lang w:val="zh-CN"/>
                    </w:rPr>
                    <w:t>开展环境影响评价、竣工环境保护验收及监测工作，编制水土保持方案及验收</w:t>
                  </w:r>
                </w:p>
              </w:tc>
              <w:tc>
                <w:tcPr>
                  <w:tcW w:w="682" w:type="pct"/>
                  <w:vAlign w:val="center"/>
                </w:tcPr>
                <w:p w14:paraId="4D4E4D7C">
                  <w:pPr>
                    <w:keepNext w:val="0"/>
                    <w:keepLines w:val="0"/>
                    <w:suppressLineNumbers w:val="0"/>
                    <w:spacing w:before="0" w:beforeAutospacing="0" w:after="0" w:afterAutospacing="0" w:line="240" w:lineRule="atLeast"/>
                    <w:ind w:left="0" w:right="0"/>
                    <w:jc w:val="center"/>
                    <w:rPr>
                      <w:bCs/>
                      <w:szCs w:val="21"/>
                    </w:rPr>
                  </w:pPr>
                  <w:r>
                    <w:rPr>
                      <w:bCs/>
                      <w:szCs w:val="21"/>
                    </w:rPr>
                    <w:t>30</w:t>
                  </w:r>
                </w:p>
              </w:tc>
            </w:tr>
            <w:tr w14:paraId="1C8E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000" w:type="pct"/>
                  <w:gridSpan w:val="5"/>
                  <w:vAlign w:val="center"/>
                </w:tcPr>
                <w:p w14:paraId="2E2C814E">
                  <w:pPr>
                    <w:keepNext w:val="0"/>
                    <w:keepLines w:val="0"/>
                    <w:suppressLineNumbers w:val="0"/>
                    <w:spacing w:before="0" w:beforeAutospacing="0" w:after="0" w:afterAutospacing="0" w:line="240" w:lineRule="atLeast"/>
                    <w:ind w:left="0" w:right="0"/>
                    <w:jc w:val="center"/>
                    <w:rPr>
                      <w:bCs/>
                      <w:szCs w:val="21"/>
                    </w:rPr>
                  </w:pPr>
                  <w:r>
                    <w:rPr>
                      <w:bCs/>
                      <w:szCs w:val="21"/>
                    </w:rPr>
                    <w:t>合计：364万元</w:t>
                  </w:r>
                </w:p>
              </w:tc>
            </w:tr>
          </w:tbl>
          <w:p w14:paraId="090631FC">
            <w:pPr>
              <w:keepNext w:val="0"/>
              <w:keepLines w:val="0"/>
              <w:suppressLineNumbers w:val="0"/>
              <w:spacing w:before="0" w:beforeAutospacing="0" w:after="0" w:afterAutospacing="0"/>
              <w:ind w:left="0" w:right="0"/>
              <w:rPr>
                <w:rFonts w:hAnsi="宋体"/>
                <w:szCs w:val="21"/>
                <w:highlight w:val="yellow"/>
              </w:rPr>
            </w:pPr>
          </w:p>
        </w:tc>
      </w:tr>
    </w:tbl>
    <w:p w14:paraId="7DB5B29B">
      <w:pPr>
        <w:widowControl/>
        <w:jc w:val="center"/>
        <w:rPr>
          <w:rFonts w:ascii="黑体" w:hAnsi="宋体" w:eastAsia="黑体" w:cs="黑体"/>
          <w:color w:val="000000"/>
          <w:kern w:val="0"/>
          <w:sz w:val="30"/>
          <w:szCs w:val="30"/>
        </w:rPr>
      </w:pPr>
      <w:bookmarkStart w:id="9" w:name="_Toc85570428"/>
      <w:r>
        <w:rPr>
          <w:rFonts w:ascii="黑体" w:hAnsi="宋体" w:eastAsia="黑体" w:cs="黑体"/>
          <w:color w:val="000000"/>
          <w:kern w:val="0"/>
          <w:sz w:val="30"/>
          <w:szCs w:val="30"/>
        </w:rPr>
        <w:t>六、生态环境保护措施监督检查清单</w:t>
      </w:r>
      <w:bookmarkEnd w:id="9"/>
    </w:p>
    <w:tbl>
      <w:tblPr>
        <w:tblStyle w:val="21"/>
        <w:tblW w:w="54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3" w:type="dxa"/>
          <w:bottom w:w="0" w:type="dxa"/>
          <w:right w:w="23" w:type="dxa"/>
        </w:tblCellMar>
      </w:tblPr>
      <w:tblGrid>
        <w:gridCol w:w="1103"/>
        <w:gridCol w:w="3123"/>
        <w:gridCol w:w="1118"/>
        <w:gridCol w:w="3190"/>
        <w:gridCol w:w="1391"/>
      </w:tblGrid>
      <w:tr w14:paraId="4B8D8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739" w:hRule="atLeast"/>
          <w:jc w:val="center"/>
        </w:trPr>
        <w:tc>
          <w:tcPr>
            <w:tcW w:w="555" w:type="pct"/>
            <w:vMerge w:val="restart"/>
            <w:tcBorders>
              <w:tl2br w:val="single" w:color="auto" w:sz="4" w:space="0"/>
            </w:tcBorders>
          </w:tcPr>
          <w:p w14:paraId="46FED3F9">
            <w:pPr>
              <w:pStyle w:val="19"/>
              <w:keepNext w:val="0"/>
              <w:keepLines w:val="0"/>
              <w:suppressLineNumbers w:val="0"/>
              <w:adjustRightInd w:val="0"/>
              <w:snapToGrid w:val="0"/>
              <w:spacing w:before="0" w:beforeAutospacing="0" w:after="0" w:afterAutospacing="0"/>
              <w:ind w:left="0" w:right="180"/>
              <w:jc w:val="right"/>
              <w:rPr>
                <w:bCs/>
                <w:kern w:val="2"/>
                <w:sz w:val="21"/>
                <w:szCs w:val="21"/>
              </w:rPr>
            </w:pPr>
            <w:r>
              <w:rPr>
                <w:bCs/>
                <w:kern w:val="2"/>
                <w:sz w:val="21"/>
                <w:szCs w:val="21"/>
              </w:rPr>
              <w:t>内容</w:t>
            </w:r>
          </w:p>
          <w:p w14:paraId="00BBB10A">
            <w:pPr>
              <w:pStyle w:val="19"/>
              <w:keepNext w:val="0"/>
              <w:keepLines w:val="0"/>
              <w:suppressLineNumbers w:val="0"/>
              <w:adjustRightInd w:val="0"/>
              <w:snapToGrid w:val="0"/>
              <w:spacing w:before="0" w:beforeAutospacing="0" w:after="0" w:afterAutospacing="0"/>
              <w:ind w:left="0" w:right="0"/>
              <w:rPr>
                <w:bCs/>
                <w:kern w:val="2"/>
                <w:sz w:val="21"/>
                <w:szCs w:val="21"/>
              </w:rPr>
            </w:pPr>
            <w:r>
              <w:rPr>
                <w:bCs/>
                <w:kern w:val="2"/>
                <w:sz w:val="21"/>
                <w:szCs w:val="21"/>
              </w:rPr>
              <w:t xml:space="preserve">  </w:t>
            </w:r>
          </w:p>
          <w:p w14:paraId="70DB07C1">
            <w:pPr>
              <w:pStyle w:val="19"/>
              <w:keepNext w:val="0"/>
              <w:keepLines w:val="0"/>
              <w:suppressLineNumbers w:val="0"/>
              <w:adjustRightInd w:val="0"/>
              <w:snapToGrid w:val="0"/>
              <w:spacing w:before="0" w:beforeAutospacing="0" w:after="0" w:afterAutospacing="0"/>
              <w:ind w:left="0" w:right="0"/>
              <w:rPr>
                <w:bCs/>
                <w:kern w:val="2"/>
                <w:sz w:val="21"/>
                <w:szCs w:val="21"/>
              </w:rPr>
            </w:pPr>
          </w:p>
          <w:p w14:paraId="1696050D">
            <w:pPr>
              <w:pStyle w:val="19"/>
              <w:keepNext w:val="0"/>
              <w:keepLines w:val="0"/>
              <w:suppressLineNumbers w:val="0"/>
              <w:adjustRightInd w:val="0"/>
              <w:snapToGrid w:val="0"/>
              <w:spacing w:before="0" w:beforeAutospacing="0" w:after="0" w:afterAutospacing="0"/>
              <w:ind w:left="0" w:right="0"/>
              <w:rPr>
                <w:bCs/>
                <w:kern w:val="2"/>
                <w:sz w:val="21"/>
                <w:szCs w:val="21"/>
              </w:rPr>
            </w:pPr>
          </w:p>
          <w:p w14:paraId="0F7DE463">
            <w:pPr>
              <w:pStyle w:val="19"/>
              <w:keepNext w:val="0"/>
              <w:keepLines w:val="0"/>
              <w:suppressLineNumbers w:val="0"/>
              <w:adjustRightInd w:val="0"/>
              <w:snapToGrid w:val="0"/>
              <w:spacing w:before="0" w:beforeAutospacing="0" w:after="0" w:afterAutospacing="0"/>
              <w:ind w:left="0" w:right="0"/>
              <w:rPr>
                <w:bCs/>
                <w:kern w:val="2"/>
                <w:sz w:val="21"/>
                <w:szCs w:val="21"/>
              </w:rPr>
            </w:pPr>
          </w:p>
          <w:p w14:paraId="29CA2690">
            <w:pPr>
              <w:pStyle w:val="19"/>
              <w:keepNext w:val="0"/>
              <w:keepLines w:val="0"/>
              <w:suppressLineNumbers w:val="0"/>
              <w:adjustRightInd w:val="0"/>
              <w:snapToGrid w:val="0"/>
              <w:spacing w:before="0" w:beforeAutospacing="0" w:after="0" w:afterAutospacing="0"/>
              <w:ind w:left="0" w:right="0"/>
              <w:rPr>
                <w:bCs/>
                <w:kern w:val="2"/>
                <w:sz w:val="21"/>
                <w:szCs w:val="21"/>
              </w:rPr>
            </w:pPr>
          </w:p>
          <w:p w14:paraId="19AF0B38">
            <w:pPr>
              <w:pStyle w:val="19"/>
              <w:keepNext w:val="0"/>
              <w:keepLines w:val="0"/>
              <w:suppressLineNumbers w:val="0"/>
              <w:adjustRightInd w:val="0"/>
              <w:snapToGrid w:val="0"/>
              <w:spacing w:before="0" w:beforeAutospacing="0" w:after="0" w:afterAutospacing="0"/>
              <w:ind w:left="0" w:right="0"/>
              <w:rPr>
                <w:bCs/>
                <w:kern w:val="2"/>
                <w:sz w:val="21"/>
                <w:szCs w:val="21"/>
              </w:rPr>
            </w:pPr>
          </w:p>
          <w:p w14:paraId="1E935BE6">
            <w:pPr>
              <w:pStyle w:val="19"/>
              <w:keepNext w:val="0"/>
              <w:keepLines w:val="0"/>
              <w:suppressLineNumbers w:val="0"/>
              <w:adjustRightInd w:val="0"/>
              <w:snapToGrid w:val="0"/>
              <w:spacing w:before="0" w:beforeAutospacing="0" w:after="0" w:afterAutospacing="0"/>
              <w:ind w:left="0" w:right="0"/>
              <w:rPr>
                <w:bCs/>
                <w:kern w:val="2"/>
                <w:sz w:val="21"/>
                <w:szCs w:val="21"/>
              </w:rPr>
            </w:pPr>
            <w:r>
              <w:rPr>
                <w:bCs/>
                <w:kern w:val="2"/>
                <w:sz w:val="21"/>
                <w:szCs w:val="21"/>
              </w:rPr>
              <w:t>要素</w:t>
            </w:r>
          </w:p>
        </w:tc>
        <w:tc>
          <w:tcPr>
            <w:tcW w:w="2136" w:type="pct"/>
            <w:gridSpan w:val="2"/>
            <w:vAlign w:val="center"/>
          </w:tcPr>
          <w:p w14:paraId="1021FD60">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施工期</w:t>
            </w:r>
          </w:p>
        </w:tc>
        <w:tc>
          <w:tcPr>
            <w:tcW w:w="2308" w:type="pct"/>
            <w:gridSpan w:val="2"/>
            <w:vAlign w:val="center"/>
          </w:tcPr>
          <w:p w14:paraId="4512ADB2">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运营期</w:t>
            </w:r>
          </w:p>
        </w:tc>
      </w:tr>
      <w:tr w14:paraId="1455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830" w:hRule="atLeast"/>
          <w:jc w:val="center"/>
        </w:trPr>
        <w:tc>
          <w:tcPr>
            <w:tcW w:w="555" w:type="pct"/>
            <w:vMerge w:val="continue"/>
          </w:tcPr>
          <w:p w14:paraId="0D7DFE2C">
            <w:pPr>
              <w:pStyle w:val="19"/>
              <w:keepNext w:val="0"/>
              <w:keepLines w:val="0"/>
              <w:suppressLineNumbers w:val="0"/>
              <w:adjustRightInd w:val="0"/>
              <w:snapToGrid w:val="0"/>
              <w:spacing w:before="0" w:beforeAutospacing="0" w:after="0" w:afterAutospacing="0"/>
              <w:ind w:left="0" w:right="0"/>
              <w:jc w:val="center"/>
              <w:rPr>
                <w:bCs/>
                <w:kern w:val="2"/>
                <w:sz w:val="21"/>
                <w:szCs w:val="21"/>
              </w:rPr>
            </w:pPr>
          </w:p>
        </w:tc>
        <w:tc>
          <w:tcPr>
            <w:tcW w:w="1573" w:type="pct"/>
            <w:vAlign w:val="center"/>
          </w:tcPr>
          <w:p w14:paraId="4CFFFB86">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环境保护措施</w:t>
            </w:r>
          </w:p>
        </w:tc>
        <w:tc>
          <w:tcPr>
            <w:tcW w:w="563" w:type="pct"/>
            <w:vAlign w:val="center"/>
          </w:tcPr>
          <w:p w14:paraId="1840B216">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验收要求</w:t>
            </w:r>
          </w:p>
        </w:tc>
        <w:tc>
          <w:tcPr>
            <w:tcW w:w="1607" w:type="pct"/>
            <w:vAlign w:val="center"/>
          </w:tcPr>
          <w:p w14:paraId="51CFA691">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环境保护措施</w:t>
            </w:r>
          </w:p>
        </w:tc>
        <w:tc>
          <w:tcPr>
            <w:tcW w:w="700" w:type="pct"/>
            <w:vAlign w:val="center"/>
          </w:tcPr>
          <w:p w14:paraId="3201A506">
            <w:pPr>
              <w:pStyle w:val="19"/>
              <w:keepNext w:val="0"/>
              <w:keepLines w:val="0"/>
              <w:suppressLineNumbers w:val="0"/>
              <w:adjustRightInd w:val="0"/>
              <w:snapToGrid w:val="0"/>
              <w:spacing w:before="0" w:beforeAutospacing="0" w:after="0" w:afterAutospacing="0"/>
              <w:ind w:left="0" w:right="0"/>
              <w:jc w:val="center"/>
              <w:rPr>
                <w:bCs/>
                <w:kern w:val="2"/>
                <w:sz w:val="21"/>
                <w:szCs w:val="21"/>
              </w:rPr>
            </w:pPr>
            <w:r>
              <w:rPr>
                <w:bCs/>
                <w:kern w:val="2"/>
                <w:sz w:val="21"/>
                <w:szCs w:val="21"/>
              </w:rPr>
              <w:t>验收要求</w:t>
            </w:r>
          </w:p>
        </w:tc>
      </w:tr>
      <w:tr w14:paraId="0DFF6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55" w:type="pct"/>
            <w:vAlign w:val="center"/>
          </w:tcPr>
          <w:p w14:paraId="4FB4872C">
            <w:pPr>
              <w:keepNext w:val="0"/>
              <w:keepLines w:val="0"/>
              <w:suppressLineNumbers w:val="0"/>
              <w:adjustRightInd w:val="0"/>
              <w:snapToGrid w:val="0"/>
              <w:spacing w:before="0" w:beforeAutospacing="0" w:after="0" w:afterAutospacing="0"/>
              <w:ind w:left="0" w:right="0"/>
              <w:jc w:val="center"/>
              <w:rPr>
                <w:rFonts w:hAnsi="宋体"/>
                <w:color w:val="FF0000"/>
                <w:szCs w:val="21"/>
              </w:rPr>
            </w:pPr>
            <w:r>
              <w:rPr>
                <w:rFonts w:hAnsi="宋体"/>
                <w:szCs w:val="21"/>
              </w:rPr>
              <w:t>陆生生态</w:t>
            </w:r>
          </w:p>
        </w:tc>
        <w:tc>
          <w:tcPr>
            <w:tcW w:w="1573" w:type="pct"/>
            <w:vAlign w:val="center"/>
          </w:tcPr>
          <w:p w14:paraId="2606BE85">
            <w:pPr>
              <w:keepNext w:val="0"/>
              <w:keepLines w:val="0"/>
              <w:suppressLineNumbers w:val="0"/>
              <w:adjustRightInd w:val="0"/>
              <w:snapToGrid w:val="0"/>
              <w:spacing w:before="0" w:beforeAutospacing="0" w:after="0" w:afterAutospacing="0"/>
              <w:ind w:left="0" w:right="0" w:firstLine="420" w:firstLineChars="200"/>
              <w:rPr>
                <w:rFonts w:hAnsi="宋体"/>
                <w:szCs w:val="21"/>
                <w:lang w:bidi="en-US"/>
              </w:rPr>
            </w:pPr>
            <w:r>
              <w:rPr>
                <w:rFonts w:hAnsi="宋体"/>
                <w:szCs w:val="21"/>
                <w:lang w:bidi="en-US"/>
              </w:rPr>
              <w:t>①施工期间，应划定施工区域，强化施工管理，增强施工人员的环境保护意识，在保证施工顺利进行的前提下，严格控制施工人员、施工机械、生活区的范围，严禁随意扩大扰动范围；尽可能缩小施工作业面和减少扰动面积，以最大限度地降低工程开挖造成的水土流失。</w:t>
            </w:r>
          </w:p>
          <w:p w14:paraId="5FD87D49">
            <w:pPr>
              <w:keepNext w:val="0"/>
              <w:keepLines w:val="0"/>
              <w:suppressLineNumbers w:val="0"/>
              <w:adjustRightInd w:val="0"/>
              <w:snapToGrid w:val="0"/>
              <w:spacing w:before="0" w:beforeAutospacing="0" w:after="0" w:afterAutospacing="0"/>
              <w:ind w:left="0" w:right="0" w:firstLine="420" w:firstLineChars="200"/>
              <w:rPr>
                <w:rFonts w:hAnsi="宋体"/>
                <w:szCs w:val="21"/>
                <w:lang w:bidi="en-US"/>
              </w:rPr>
            </w:pPr>
            <w:r>
              <w:rPr>
                <w:rFonts w:hAnsi="宋体"/>
                <w:szCs w:val="21"/>
                <w:lang w:bidi="en-US"/>
              </w:rPr>
              <w:t>②尽量减少大型机械施工，基坑开挖后，尽快浇筑混凝土，并及时回填，</w:t>
            </w:r>
            <w:r>
              <w:rPr>
                <w:rFonts w:hint="eastAsia" w:hAnsi="宋体"/>
                <w:szCs w:val="21"/>
                <w:lang w:bidi="en-US"/>
              </w:rPr>
              <w:t>对</w:t>
            </w:r>
            <w:r>
              <w:rPr>
                <w:rFonts w:hAnsi="宋体"/>
                <w:szCs w:val="21"/>
                <w:lang w:bidi="en-US"/>
              </w:rPr>
              <w:t>表层进行碾压，缩短裸露时间，减少扬尘</w:t>
            </w:r>
            <w:r>
              <w:rPr>
                <w:rFonts w:hint="eastAsia" w:hAnsi="宋体"/>
                <w:szCs w:val="21"/>
                <w:lang w:bidi="en-US"/>
              </w:rPr>
              <w:t>产生</w:t>
            </w:r>
            <w:r>
              <w:rPr>
                <w:rFonts w:hAnsi="宋体"/>
                <w:szCs w:val="21"/>
                <w:lang w:bidi="en-US"/>
              </w:rPr>
              <w:t>。</w:t>
            </w:r>
          </w:p>
          <w:p w14:paraId="2226ED94">
            <w:pPr>
              <w:keepNext w:val="0"/>
              <w:keepLines w:val="0"/>
              <w:suppressLineNumbers w:val="0"/>
              <w:adjustRightInd w:val="0"/>
              <w:snapToGrid w:val="0"/>
              <w:spacing w:before="0" w:beforeAutospacing="0" w:after="0" w:afterAutospacing="0"/>
              <w:ind w:left="0" w:right="0" w:firstLine="420" w:firstLineChars="200"/>
              <w:rPr>
                <w:rFonts w:hAnsi="宋体"/>
                <w:szCs w:val="21"/>
                <w:lang w:bidi="en-US"/>
              </w:rPr>
            </w:pPr>
            <w:r>
              <w:rPr>
                <w:rFonts w:hint="eastAsia" w:hAnsi="宋体"/>
                <w:szCs w:val="21"/>
                <w:lang w:bidi="en-US"/>
              </w:rPr>
              <w:t>③施工单位要按照设计严格控制</w:t>
            </w:r>
            <w:r>
              <w:rPr>
                <w:rFonts w:hint="eastAsia" w:hAnsi="宋体"/>
                <w:bCs/>
                <w:szCs w:val="21"/>
              </w:rPr>
              <w:t>临时用地</w:t>
            </w:r>
            <w:r>
              <w:rPr>
                <w:rFonts w:hint="eastAsia" w:hAnsi="宋体"/>
                <w:szCs w:val="21"/>
                <w:lang w:bidi="en-US"/>
              </w:rPr>
              <w:t>面积，不得随意扩大施工道路的宽度和长度或单另开道，施工道路两侧布设彩旗，限定运输车辆的行驶范围，应在施工前建设施工道路，避免运输车辆对地表砾幕层及原生植被的碾压扰动，防止水土流失。</w:t>
            </w:r>
          </w:p>
          <w:p w14:paraId="63E25F09">
            <w:pPr>
              <w:keepNext w:val="0"/>
              <w:keepLines w:val="0"/>
              <w:suppressLineNumbers w:val="0"/>
              <w:snapToGrid w:val="0"/>
              <w:spacing w:before="0" w:beforeAutospacing="0" w:after="0" w:afterAutospacing="0"/>
              <w:ind w:left="0" w:right="0" w:firstLine="420" w:firstLineChars="200"/>
              <w:rPr>
                <w:rFonts w:hAnsi="宋体"/>
                <w:szCs w:val="21"/>
                <w:lang w:bidi="en-US"/>
              </w:rPr>
            </w:pPr>
            <w:r>
              <w:rPr>
                <w:rFonts w:hint="eastAsia" w:hAnsi="宋体"/>
                <w:szCs w:val="21"/>
                <w:lang w:bidi="en-US"/>
              </w:rPr>
              <w:t>④项目施工前应对工程占用区域可利用的表土进行剥离，单独堆存，加强表土堆存防护及管理，确保有效回用。做到“分层开挖、分层堆放、分层回填”,临时开挖土石方应该实行分层堆放与分层回填，地表30cm厚的表土层堆放在下层，其他土方需采用篷布遮盖，同时采取洒水降尘措施。施工过程中，采取绿色施工工艺，减少地表开挖，可能缩小施工作业面和减少扰动面积，以最大限度地降低工程开挖造成的水土流失。合理设计高陡边坡支挡、加固措施，减少对脆弱生态的扰动。</w:t>
            </w:r>
          </w:p>
          <w:p w14:paraId="739E959F">
            <w:pPr>
              <w:keepNext w:val="0"/>
              <w:keepLines w:val="0"/>
              <w:suppressLineNumbers w:val="0"/>
              <w:snapToGrid w:val="0"/>
              <w:spacing w:before="0" w:beforeAutospacing="0" w:after="0" w:afterAutospacing="0"/>
              <w:ind w:left="0" w:right="0" w:firstLine="420" w:firstLineChars="200"/>
              <w:rPr>
                <w:rFonts w:hAnsi="宋体"/>
                <w:szCs w:val="21"/>
                <w:lang w:bidi="en-US"/>
              </w:rPr>
            </w:pPr>
            <w:r>
              <w:rPr>
                <w:rFonts w:hint="eastAsia" w:hAnsi="宋体"/>
                <w:szCs w:val="21"/>
                <w:lang w:bidi="en-US"/>
              </w:rPr>
              <w:t>⑤临时占地区选址应尽量选择没有植被覆盖的裸地，尽量减小本工程对占用区植被的影响。施工前对临时占地进行表土剥离，所剥离表土临时堆存于临时施工场地一角，用于施工结束后绿化覆土。施工过程中对施工生产生活区临时堆放土、石料和剥离地表土周边设置临时草袋装土挡墙拦挡。对堆积建筑砂石料和剥离地表土表面采用防尘网苫盖，防止雨水冲刷和大风吹蚀。</w:t>
            </w:r>
          </w:p>
          <w:p w14:paraId="4E5EFFA5">
            <w:pPr>
              <w:keepNext w:val="0"/>
              <w:keepLines w:val="0"/>
              <w:suppressLineNumbers w:val="0"/>
              <w:adjustRightInd w:val="0"/>
              <w:snapToGrid w:val="0"/>
              <w:spacing w:before="0" w:beforeAutospacing="0" w:after="0" w:afterAutospacing="0"/>
              <w:ind w:left="0" w:right="0" w:firstLine="420" w:firstLineChars="200"/>
              <w:rPr>
                <w:rFonts w:hAnsi="宋体"/>
                <w:color w:val="FF0000"/>
                <w:szCs w:val="21"/>
                <w:lang w:bidi="en-US"/>
              </w:rPr>
            </w:pPr>
            <w:r>
              <w:rPr>
                <w:rFonts w:hint="eastAsia" w:hAnsi="宋体"/>
                <w:szCs w:val="21"/>
                <w:lang w:bidi="en-US"/>
              </w:rPr>
              <w:t>施工结束后，应及时对临时占地区域采取平整压实处理，避免水土流失等对植被的破坏。施工结束后及时拆除施工临时设施，并进行迹地恢复。沉淀池用土石填埋至原高程，其上覆盖表层土30cm，对施工期用于施工营地等临时占用土地，应严格按照占多少还多少的原则，尽可能恢复原状；对施工区形成的裸地要及时采取表面覆土</w:t>
            </w:r>
            <w:r>
              <w:rPr>
                <w:rFonts w:hAnsi="宋体"/>
                <w:szCs w:val="21"/>
                <w:lang w:bidi="en-US"/>
              </w:rPr>
              <w:t>并压紧、夯实</w:t>
            </w:r>
            <w:r>
              <w:rPr>
                <w:rFonts w:hint="eastAsia" w:hAnsi="宋体"/>
                <w:szCs w:val="21"/>
                <w:lang w:bidi="en-US"/>
              </w:rPr>
              <w:t>、砾石压盖等措施尽量恢复原地貌、防止水土流失。</w:t>
            </w:r>
          </w:p>
        </w:tc>
        <w:tc>
          <w:tcPr>
            <w:tcW w:w="563" w:type="pct"/>
            <w:vAlign w:val="center"/>
          </w:tcPr>
          <w:p w14:paraId="52989DE6">
            <w:pPr>
              <w:keepNext w:val="0"/>
              <w:keepLines w:val="0"/>
              <w:suppressLineNumbers w:val="0"/>
              <w:spacing w:before="0" w:beforeAutospacing="0" w:after="0" w:afterAutospacing="0"/>
              <w:ind w:left="0" w:right="0"/>
              <w:jc w:val="center"/>
              <w:rPr>
                <w:rFonts w:hAnsi="宋体"/>
                <w:color w:val="FF0000"/>
                <w:szCs w:val="21"/>
              </w:rPr>
            </w:pPr>
            <w:r>
              <w:rPr>
                <w:szCs w:val="21"/>
              </w:rPr>
              <w:t>工程现场无渣土堆弃；</w:t>
            </w:r>
            <w:r>
              <w:rPr>
                <w:rFonts w:hint="eastAsia"/>
                <w:szCs w:val="21"/>
              </w:rPr>
              <w:t>土地平整，</w:t>
            </w:r>
            <w:r>
              <w:rPr>
                <w:rFonts w:hint="eastAsia" w:hAnsi="宋体" w:cs="宋体"/>
                <w:bCs/>
                <w:szCs w:val="21"/>
              </w:rPr>
              <w:t>临时用地</w:t>
            </w:r>
            <w:r>
              <w:rPr>
                <w:rFonts w:hint="eastAsia" w:hAnsi="宋体"/>
                <w:szCs w:val="21"/>
              </w:rPr>
              <w:t>全部进行</w:t>
            </w:r>
            <w:r>
              <w:rPr>
                <w:szCs w:val="21"/>
              </w:rPr>
              <w:t>生态恢复</w:t>
            </w:r>
            <w:r>
              <w:rPr>
                <w:rFonts w:hint="eastAsia"/>
                <w:szCs w:val="21"/>
              </w:rPr>
              <w:t>。</w:t>
            </w:r>
          </w:p>
        </w:tc>
        <w:tc>
          <w:tcPr>
            <w:tcW w:w="1607" w:type="pct"/>
            <w:vAlign w:val="center"/>
          </w:tcPr>
          <w:p w14:paraId="48D2AC07">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lang w:val="zh-CN"/>
              </w:rPr>
              <w:t>①完善施工期未实施到位的生态保护措施及水土保持的工程措施。确保项目建设区内新增植被覆盖率和成活率。</w:t>
            </w:r>
          </w:p>
          <w:p w14:paraId="6CC805F6">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rPr>
              <w:t xml:space="preserve">②输变电工程运行维护阶段应优化运行检修方案、规范运行维护活动、减少人为扰动，加强对沿线植被等防控措施和设施的定期巡检和维护。 </w:t>
            </w:r>
          </w:p>
          <w:p w14:paraId="010D70C2">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rPr>
              <w:t>③巡检人员运行期针对巡查检修可能造成的植被损伤和生态扰动，宜采用无人机巡检技术，通过空中飞行检测，分辨和判断可能存在的故障。</w:t>
            </w:r>
          </w:p>
          <w:p w14:paraId="7CD9C8B6">
            <w:pPr>
              <w:keepNext w:val="0"/>
              <w:keepLines w:val="0"/>
              <w:suppressLineNumbers w:val="0"/>
              <w:spacing w:before="0" w:beforeAutospacing="0" w:after="0" w:afterAutospacing="0"/>
              <w:ind w:left="0" w:right="0" w:firstLine="420" w:firstLineChars="200"/>
              <w:rPr>
                <w:rFonts w:hAnsi="宋体"/>
                <w:szCs w:val="21"/>
              </w:rPr>
            </w:pPr>
            <w:r>
              <w:rPr>
                <w:rFonts w:hint="eastAsia" w:hAnsi="宋体"/>
                <w:szCs w:val="21"/>
              </w:rPr>
              <w:t>④防火、禁猎，保护光伏电场周边植被，保护动物的生存环境。</w:t>
            </w:r>
          </w:p>
        </w:tc>
        <w:tc>
          <w:tcPr>
            <w:tcW w:w="700" w:type="pct"/>
            <w:vAlign w:val="center"/>
          </w:tcPr>
          <w:p w14:paraId="6FD4D7FF">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szCs w:val="21"/>
              </w:rPr>
              <w:t>完善施工期未实施到位的生态保护措施及水土保持的工程措施，防火、禁猎，保护光伏电场周边植被，保护动物的生存环境。</w:t>
            </w:r>
          </w:p>
        </w:tc>
      </w:tr>
      <w:tr w14:paraId="0B62C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897" w:hRule="atLeast"/>
          <w:jc w:val="center"/>
        </w:trPr>
        <w:tc>
          <w:tcPr>
            <w:tcW w:w="555" w:type="pct"/>
            <w:vAlign w:val="center"/>
          </w:tcPr>
          <w:p w14:paraId="2A989317">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水生生态</w:t>
            </w:r>
          </w:p>
        </w:tc>
        <w:tc>
          <w:tcPr>
            <w:tcW w:w="1573" w:type="pct"/>
            <w:vAlign w:val="center"/>
          </w:tcPr>
          <w:p w14:paraId="751AD7E6">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67F06FC9">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1FA2769C">
            <w:pPr>
              <w:keepNext w:val="0"/>
              <w:keepLines w:val="0"/>
              <w:suppressLineNumbers w:val="0"/>
              <w:spacing w:before="0" w:beforeAutospacing="0" w:after="0" w:afterAutospacing="0"/>
              <w:ind w:left="0" w:right="0"/>
              <w:jc w:val="center"/>
              <w:rPr>
                <w:szCs w:val="21"/>
              </w:rPr>
            </w:pPr>
            <w:r>
              <w:rPr>
                <w:szCs w:val="21"/>
              </w:rPr>
              <w:t>/</w:t>
            </w:r>
          </w:p>
        </w:tc>
        <w:tc>
          <w:tcPr>
            <w:tcW w:w="700" w:type="pct"/>
            <w:vAlign w:val="center"/>
          </w:tcPr>
          <w:p w14:paraId="04D54165">
            <w:pPr>
              <w:keepNext w:val="0"/>
              <w:keepLines w:val="0"/>
              <w:suppressLineNumbers w:val="0"/>
              <w:spacing w:before="0" w:beforeAutospacing="0" w:after="0" w:afterAutospacing="0"/>
              <w:ind w:left="0" w:right="0"/>
              <w:jc w:val="center"/>
              <w:rPr>
                <w:szCs w:val="21"/>
              </w:rPr>
            </w:pPr>
            <w:r>
              <w:rPr>
                <w:szCs w:val="21"/>
              </w:rPr>
              <w:t>/</w:t>
            </w:r>
          </w:p>
        </w:tc>
      </w:tr>
      <w:tr w14:paraId="2FDE8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806" w:hRule="atLeast"/>
          <w:jc w:val="center"/>
        </w:trPr>
        <w:tc>
          <w:tcPr>
            <w:tcW w:w="555" w:type="pct"/>
            <w:vAlign w:val="center"/>
          </w:tcPr>
          <w:p w14:paraId="3175BC7D">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地表水环境</w:t>
            </w:r>
          </w:p>
        </w:tc>
        <w:tc>
          <w:tcPr>
            <w:tcW w:w="1573" w:type="pct"/>
            <w:shd w:val="clear" w:color="auto" w:fill="auto"/>
            <w:vAlign w:val="center"/>
          </w:tcPr>
          <w:p w14:paraId="7EE6FCD4">
            <w:pPr>
              <w:keepNext w:val="0"/>
              <w:keepLines w:val="0"/>
              <w:suppressLineNumbers w:val="0"/>
              <w:adjustRightInd w:val="0"/>
              <w:snapToGrid w:val="0"/>
              <w:spacing w:before="0" w:beforeAutospacing="0" w:after="0" w:afterAutospacing="0"/>
              <w:ind w:left="0" w:right="0"/>
              <w:jc w:val="center"/>
              <w:rPr>
                <w:szCs w:val="21"/>
              </w:rPr>
            </w:pPr>
            <w:r>
              <w:rPr>
                <w:szCs w:val="21"/>
              </w:rPr>
              <w:t>施工生产废水</w:t>
            </w:r>
            <w:r>
              <w:rPr>
                <w:rFonts w:hint="eastAsia"/>
                <w:szCs w:val="21"/>
              </w:rPr>
              <w:t>经沉淀池沉淀后</w:t>
            </w:r>
            <w:r>
              <w:rPr>
                <w:szCs w:val="21"/>
              </w:rPr>
              <w:t>用于泼洒地面降尘；施工期设置移动环保厕所，</w:t>
            </w:r>
            <w:r>
              <w:rPr>
                <w:rFonts w:hint="eastAsia"/>
                <w:szCs w:val="21"/>
              </w:rPr>
              <w:t>施工期定期清</w:t>
            </w:r>
            <w:r>
              <w:rPr>
                <w:szCs w:val="21"/>
              </w:rPr>
              <w:t>掏</w:t>
            </w:r>
            <w:r>
              <w:rPr>
                <w:rFonts w:hint="eastAsia"/>
                <w:szCs w:val="21"/>
              </w:rPr>
              <w:t>，并拉运至托克逊县生活污水处理厂处理</w:t>
            </w:r>
            <w:r>
              <w:rPr>
                <w:szCs w:val="21"/>
              </w:rPr>
              <w:t>。</w:t>
            </w:r>
          </w:p>
        </w:tc>
        <w:tc>
          <w:tcPr>
            <w:tcW w:w="563" w:type="pct"/>
            <w:shd w:val="clear" w:color="auto" w:fill="auto"/>
            <w:vAlign w:val="center"/>
          </w:tcPr>
          <w:p w14:paraId="7EE85E1F">
            <w:pPr>
              <w:keepNext w:val="0"/>
              <w:keepLines w:val="0"/>
              <w:suppressLineNumbers w:val="0"/>
              <w:adjustRightInd w:val="0"/>
              <w:snapToGrid w:val="0"/>
              <w:spacing w:before="0" w:beforeAutospacing="0" w:after="0" w:afterAutospacing="0"/>
              <w:ind w:left="0" w:right="0"/>
              <w:jc w:val="center"/>
              <w:rPr>
                <w:szCs w:val="21"/>
              </w:rPr>
            </w:pPr>
            <w:r>
              <w:rPr>
                <w:rFonts w:hint="eastAsia"/>
                <w:szCs w:val="21"/>
              </w:rPr>
              <w:t>合理处置，</w:t>
            </w:r>
            <w:r>
              <w:rPr>
                <w:szCs w:val="21"/>
              </w:rPr>
              <w:t>不外排</w:t>
            </w:r>
          </w:p>
        </w:tc>
        <w:tc>
          <w:tcPr>
            <w:tcW w:w="1607" w:type="pct"/>
            <w:shd w:val="clear" w:color="auto" w:fill="auto"/>
            <w:vAlign w:val="center"/>
          </w:tcPr>
          <w:p w14:paraId="01B8EFA8">
            <w:pPr>
              <w:keepNext w:val="0"/>
              <w:keepLines w:val="0"/>
              <w:suppressLineNumbers w:val="0"/>
              <w:spacing w:before="0" w:beforeAutospacing="0" w:after="0" w:afterAutospacing="0"/>
              <w:ind w:left="0" w:right="0" w:firstLine="420" w:firstLineChars="200"/>
              <w:rPr>
                <w:szCs w:val="21"/>
              </w:rPr>
            </w:pPr>
            <w:r>
              <w:rPr>
                <w:rFonts w:hint="eastAsia" w:hAnsi="宋体"/>
                <w:szCs w:val="21"/>
              </w:rPr>
              <w:t>项目外排废水主要为员工生活污水。生活污水排放量按照用水量的80%计算，本项目生活污水排放量为</w:t>
            </w:r>
            <w:r>
              <w:rPr>
                <w:szCs w:val="21"/>
              </w:rPr>
              <w:t>0.96m³/d，350.4m³/a</w:t>
            </w:r>
            <w:r>
              <w:rPr>
                <w:rFonts w:hint="eastAsia" w:hAnsi="宋体"/>
                <w:szCs w:val="21"/>
              </w:rPr>
              <w:t>。本项目生活污水水质简单，无特殊的污染因子，本项目在生活区内拟建1座地埋式一体化污水处理设备，处理能力为</w:t>
            </w:r>
            <w:r>
              <w:rPr>
                <w:szCs w:val="21"/>
              </w:rPr>
              <w:t>0.5m³/h</w:t>
            </w:r>
            <w:r>
              <w:rPr>
                <w:rFonts w:hint="eastAsia" w:hAnsi="宋体"/>
                <w:szCs w:val="21"/>
              </w:rPr>
              <w:t>，在食堂设置隔油池1个，食堂餐饮废水经隔油池处理后，同生活污水一并排入地埋式一体化污水处理设备，经处理后出水水质满足新疆维吾尔自治区《农村生活污水处理排放标准》（DB65 4275-2019）表2 A级水质标准后，排入项目区150m</w:t>
            </w:r>
            <w:r>
              <w:rPr>
                <w:rFonts w:hint="eastAsia" w:hAnsi="宋体"/>
                <w:szCs w:val="21"/>
                <w:vertAlign w:val="superscript"/>
              </w:rPr>
              <w:t>3</w:t>
            </w:r>
            <w:r>
              <w:rPr>
                <w:rFonts w:hint="eastAsia" w:hAnsi="宋体"/>
                <w:szCs w:val="21"/>
              </w:rPr>
              <w:t>防渗</w:t>
            </w:r>
            <w:r>
              <w:rPr>
                <w:rFonts w:hAnsi="宋体"/>
                <w:szCs w:val="21"/>
              </w:rPr>
              <w:t>集水池</w:t>
            </w:r>
            <w:r>
              <w:rPr>
                <w:rFonts w:hint="eastAsia" w:hAnsi="宋体"/>
                <w:szCs w:val="21"/>
              </w:rPr>
              <w:t>内，夏季回用于生活区绿化，冬季暂存翌年再利用。</w:t>
            </w:r>
          </w:p>
        </w:tc>
        <w:tc>
          <w:tcPr>
            <w:tcW w:w="700" w:type="pct"/>
            <w:shd w:val="clear" w:color="auto" w:fill="auto"/>
            <w:vAlign w:val="center"/>
          </w:tcPr>
          <w:p w14:paraId="294EE147">
            <w:pPr>
              <w:keepNext w:val="0"/>
              <w:keepLines w:val="0"/>
              <w:suppressLineNumbers w:val="0"/>
              <w:spacing w:before="0" w:beforeAutospacing="0" w:after="0" w:afterAutospacing="0"/>
              <w:ind w:left="0" w:right="0"/>
              <w:jc w:val="center"/>
              <w:rPr>
                <w:szCs w:val="21"/>
              </w:rPr>
            </w:pPr>
            <w:r>
              <w:rPr>
                <w:rFonts w:hint="eastAsia"/>
                <w:szCs w:val="21"/>
              </w:rPr>
              <w:t>不外排</w:t>
            </w:r>
          </w:p>
        </w:tc>
      </w:tr>
      <w:tr w14:paraId="67D9C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592" w:hRule="atLeast"/>
          <w:jc w:val="center"/>
        </w:trPr>
        <w:tc>
          <w:tcPr>
            <w:tcW w:w="555" w:type="pct"/>
            <w:vAlign w:val="center"/>
          </w:tcPr>
          <w:p w14:paraId="56E14BCB">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地下水及土壤环境</w:t>
            </w:r>
          </w:p>
        </w:tc>
        <w:tc>
          <w:tcPr>
            <w:tcW w:w="1573" w:type="pct"/>
            <w:vAlign w:val="center"/>
          </w:tcPr>
          <w:p w14:paraId="0AC61C94">
            <w:pPr>
              <w:keepNext w:val="0"/>
              <w:keepLines w:val="0"/>
              <w:suppressLineNumbers w:val="0"/>
              <w:adjustRightInd w:val="0"/>
              <w:snapToGrid w:val="0"/>
              <w:spacing w:before="0" w:beforeAutospacing="0" w:after="0" w:afterAutospacing="0"/>
              <w:ind w:left="0" w:right="0"/>
              <w:jc w:val="center"/>
              <w:rPr>
                <w:szCs w:val="21"/>
              </w:rPr>
            </w:pPr>
            <w:r>
              <w:rPr>
                <w:rFonts w:hint="eastAsia"/>
                <w:szCs w:val="21"/>
              </w:rPr>
              <w:t>/</w:t>
            </w:r>
          </w:p>
        </w:tc>
        <w:tc>
          <w:tcPr>
            <w:tcW w:w="563" w:type="pct"/>
            <w:vAlign w:val="center"/>
          </w:tcPr>
          <w:p w14:paraId="5A567F81">
            <w:pPr>
              <w:keepNext w:val="0"/>
              <w:keepLines w:val="0"/>
              <w:suppressLineNumbers w:val="0"/>
              <w:adjustRightInd w:val="0"/>
              <w:snapToGrid w:val="0"/>
              <w:spacing w:before="0" w:beforeAutospacing="0" w:after="0" w:afterAutospacing="0"/>
              <w:ind w:left="0" w:right="0"/>
              <w:jc w:val="center"/>
              <w:rPr>
                <w:szCs w:val="21"/>
              </w:rPr>
            </w:pPr>
            <w:r>
              <w:rPr>
                <w:rFonts w:hint="eastAsia"/>
                <w:szCs w:val="21"/>
              </w:rPr>
              <w:t>/</w:t>
            </w:r>
          </w:p>
        </w:tc>
        <w:tc>
          <w:tcPr>
            <w:tcW w:w="1607" w:type="pct"/>
            <w:vAlign w:val="center"/>
          </w:tcPr>
          <w:p w14:paraId="79D670F1">
            <w:pPr>
              <w:keepNext w:val="0"/>
              <w:keepLines w:val="0"/>
              <w:suppressLineNumbers w:val="0"/>
              <w:spacing w:before="0" w:beforeAutospacing="0" w:after="0" w:afterAutospacing="0"/>
              <w:ind w:left="0" w:right="0"/>
              <w:jc w:val="center"/>
              <w:rPr>
                <w:szCs w:val="21"/>
              </w:rPr>
            </w:pPr>
            <w:r>
              <w:rPr>
                <w:rFonts w:hint="eastAsia"/>
                <w:szCs w:val="21"/>
              </w:rPr>
              <w:t>/</w:t>
            </w:r>
          </w:p>
        </w:tc>
        <w:tc>
          <w:tcPr>
            <w:tcW w:w="700" w:type="pct"/>
            <w:vAlign w:val="center"/>
          </w:tcPr>
          <w:p w14:paraId="1F863B35">
            <w:pPr>
              <w:keepNext w:val="0"/>
              <w:keepLines w:val="0"/>
              <w:suppressLineNumbers w:val="0"/>
              <w:spacing w:before="0" w:beforeAutospacing="0" w:after="0" w:afterAutospacing="0"/>
              <w:ind w:left="0" w:right="0"/>
              <w:jc w:val="center"/>
              <w:rPr>
                <w:szCs w:val="21"/>
              </w:rPr>
            </w:pPr>
            <w:r>
              <w:rPr>
                <w:rFonts w:hint="eastAsia"/>
                <w:szCs w:val="21"/>
              </w:rPr>
              <w:t>/</w:t>
            </w:r>
          </w:p>
        </w:tc>
      </w:tr>
      <w:tr w14:paraId="3C6CA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57" w:hRule="atLeast"/>
          <w:jc w:val="center"/>
        </w:trPr>
        <w:tc>
          <w:tcPr>
            <w:tcW w:w="555" w:type="pct"/>
            <w:vAlign w:val="center"/>
          </w:tcPr>
          <w:p w14:paraId="54A94DD5">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声环境</w:t>
            </w:r>
          </w:p>
        </w:tc>
        <w:tc>
          <w:tcPr>
            <w:tcW w:w="1573" w:type="pct"/>
            <w:vAlign w:val="center"/>
          </w:tcPr>
          <w:p w14:paraId="1E0BE873">
            <w:pPr>
              <w:keepNext w:val="0"/>
              <w:keepLines w:val="0"/>
              <w:suppressLineNumbers w:val="0"/>
              <w:adjustRightInd w:val="0"/>
              <w:snapToGrid w:val="0"/>
              <w:spacing w:before="0" w:beforeAutospacing="0" w:after="0" w:afterAutospacing="0"/>
              <w:ind w:left="0" w:right="0" w:firstLine="420" w:firstLineChars="200"/>
              <w:jc w:val="left"/>
              <w:rPr>
                <w:szCs w:val="21"/>
              </w:rPr>
            </w:pPr>
            <w:r>
              <w:rPr>
                <w:rFonts w:hint="eastAsia"/>
                <w:szCs w:val="21"/>
              </w:rPr>
              <w:t>①合理安排施工时间，尽可能避免大量高噪声设备同时施工，且高噪设备施工时间尽量安排在昼间，减少夜间施工量。</w:t>
            </w:r>
          </w:p>
          <w:p w14:paraId="5068A29D">
            <w:pPr>
              <w:keepNext w:val="0"/>
              <w:keepLines w:val="0"/>
              <w:suppressLineNumbers w:val="0"/>
              <w:adjustRightInd w:val="0"/>
              <w:snapToGrid w:val="0"/>
              <w:spacing w:before="0" w:beforeAutospacing="0" w:after="0" w:afterAutospacing="0"/>
              <w:ind w:left="0" w:right="0" w:firstLine="420" w:firstLineChars="200"/>
              <w:jc w:val="left"/>
              <w:rPr>
                <w:szCs w:val="21"/>
              </w:rPr>
            </w:pPr>
            <w:r>
              <w:rPr>
                <w:rFonts w:hint="eastAsia"/>
                <w:szCs w:val="21"/>
              </w:rPr>
              <w:t>②合理布局施工场地，避免在同一地点安排大量动力机械设备，以避免局部声级过高。</w:t>
            </w:r>
          </w:p>
          <w:p w14:paraId="4630850E">
            <w:pPr>
              <w:keepNext w:val="0"/>
              <w:keepLines w:val="0"/>
              <w:suppressLineNumbers w:val="0"/>
              <w:adjustRightInd w:val="0"/>
              <w:snapToGrid w:val="0"/>
              <w:spacing w:before="0" w:beforeAutospacing="0" w:after="0" w:afterAutospacing="0"/>
              <w:ind w:left="0" w:right="0" w:firstLine="420" w:firstLineChars="200"/>
              <w:jc w:val="left"/>
              <w:rPr>
                <w:szCs w:val="21"/>
              </w:rPr>
            </w:pPr>
            <w:r>
              <w:rPr>
                <w:rFonts w:hint="eastAsia"/>
                <w:szCs w:val="21"/>
              </w:rPr>
              <w:t>③施工机械产生的噪声往往具有突发、无规则、不连续和高强度等特点，施工单位应采取合理安排施工机械操作时间的方法加以缓解，并减少同时作业的高噪施工机械数量，尽可能减轻声源叠加影响。</w:t>
            </w:r>
          </w:p>
          <w:p w14:paraId="64178863">
            <w:pPr>
              <w:keepNext w:val="0"/>
              <w:keepLines w:val="0"/>
              <w:suppressLineNumbers w:val="0"/>
              <w:adjustRightInd w:val="0"/>
              <w:snapToGrid w:val="0"/>
              <w:spacing w:before="0" w:beforeAutospacing="0" w:after="0" w:afterAutospacing="0"/>
              <w:ind w:left="0" w:right="0" w:firstLine="420" w:firstLineChars="200"/>
              <w:jc w:val="left"/>
              <w:rPr>
                <w:rFonts w:hAnsi="宋体"/>
                <w:szCs w:val="21"/>
                <w:lang w:bidi="en-US"/>
              </w:rPr>
            </w:pPr>
            <w:r>
              <w:rPr>
                <w:rFonts w:hint="eastAsia"/>
                <w:szCs w:val="21"/>
              </w:rPr>
              <w:t>④降低人为噪声，按照规定操作机械设备，在挡板、支架拆卸过程中，应遵守作业规定，减少碰撞噪声。</w:t>
            </w:r>
          </w:p>
        </w:tc>
        <w:tc>
          <w:tcPr>
            <w:tcW w:w="563" w:type="pct"/>
            <w:vAlign w:val="center"/>
          </w:tcPr>
          <w:p w14:paraId="31A80D4A">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szCs w:val="21"/>
              </w:rPr>
              <w:t>满足</w:t>
            </w:r>
            <w:r>
              <w:rPr>
                <w:szCs w:val="21"/>
              </w:rPr>
              <w:t>《建筑施工场界环境噪声排放标准》（GB12523-2011）</w:t>
            </w:r>
          </w:p>
        </w:tc>
        <w:tc>
          <w:tcPr>
            <w:tcW w:w="1607" w:type="pct"/>
            <w:vAlign w:val="center"/>
          </w:tcPr>
          <w:p w14:paraId="3170EDB8">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①升压站首先选择低噪声的设备，合理布局站内电气设备及配电装置；加强站内电气设备的日常维护，避免设备异常噪声排放以减少噪声对站区环境的影响。</w:t>
            </w:r>
          </w:p>
          <w:p w14:paraId="72705A46">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②优化输电线路的导线特性，如提高表面光洁度、适当加大导线截面直径等，降低线路噪声水平。</w:t>
            </w:r>
          </w:p>
          <w:p w14:paraId="392E3E7C">
            <w:pPr>
              <w:keepNext w:val="0"/>
              <w:keepLines w:val="0"/>
              <w:suppressLineNumbers w:val="0"/>
              <w:spacing w:before="0" w:beforeAutospacing="0" w:after="0" w:afterAutospacing="0"/>
              <w:ind w:left="0" w:right="0" w:firstLine="210" w:firstLineChars="100"/>
              <w:rPr>
                <w:rFonts w:hAnsi="宋体" w:cs="宋体"/>
                <w:szCs w:val="21"/>
              </w:rPr>
            </w:pPr>
          </w:p>
        </w:tc>
        <w:tc>
          <w:tcPr>
            <w:tcW w:w="700" w:type="pct"/>
            <w:vAlign w:val="center"/>
          </w:tcPr>
          <w:p w14:paraId="71280F01">
            <w:pPr>
              <w:keepNext w:val="0"/>
              <w:keepLines w:val="0"/>
              <w:widowControl/>
              <w:suppressLineNumbers w:val="0"/>
              <w:spacing w:before="0" w:beforeAutospacing="0" w:after="0" w:afterAutospacing="0"/>
              <w:ind w:left="0" w:right="0"/>
              <w:jc w:val="left"/>
              <w:rPr>
                <w:szCs w:val="21"/>
              </w:rPr>
            </w:pPr>
            <w:r>
              <w:rPr>
                <w:rFonts w:hint="eastAsia" w:hAnsi="宋体"/>
                <w:szCs w:val="21"/>
                <w:lang w:bidi="en-US"/>
              </w:rPr>
              <w:t>满足《工业企业厂界环境噪声排放标准》(GB12348-2008)2类标准；《声环境质量标准》（</w:t>
            </w:r>
            <w:r>
              <w:rPr>
                <w:rFonts w:hAnsi="宋体"/>
                <w:szCs w:val="21"/>
                <w:lang w:bidi="en-US"/>
              </w:rPr>
              <w:t>GB3096-2008</w:t>
            </w:r>
            <w:r>
              <w:rPr>
                <w:rFonts w:hint="eastAsia" w:hAnsi="宋体"/>
                <w:szCs w:val="21"/>
                <w:lang w:bidi="en-US"/>
              </w:rPr>
              <w:t>）中的</w:t>
            </w:r>
            <w:r>
              <w:rPr>
                <w:rFonts w:hAnsi="宋体"/>
                <w:szCs w:val="21"/>
                <w:lang w:bidi="en-US"/>
              </w:rPr>
              <w:t>2</w:t>
            </w:r>
            <w:r>
              <w:rPr>
                <w:rFonts w:hint="eastAsia" w:hAnsi="宋体"/>
                <w:szCs w:val="21"/>
                <w:lang w:bidi="en-US"/>
              </w:rPr>
              <w:t>类标准</w:t>
            </w:r>
          </w:p>
          <w:p w14:paraId="4607DA36">
            <w:pPr>
              <w:keepNext w:val="0"/>
              <w:keepLines w:val="0"/>
              <w:suppressLineNumbers w:val="0"/>
              <w:spacing w:before="0" w:beforeAutospacing="0" w:after="0" w:afterAutospacing="0"/>
              <w:ind w:left="0" w:right="0"/>
              <w:jc w:val="center"/>
              <w:rPr>
                <w:rFonts w:hAnsi="宋体"/>
                <w:szCs w:val="21"/>
              </w:rPr>
            </w:pPr>
          </w:p>
        </w:tc>
      </w:tr>
      <w:tr w14:paraId="64DB0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386" w:hRule="atLeast"/>
          <w:jc w:val="center"/>
        </w:trPr>
        <w:tc>
          <w:tcPr>
            <w:tcW w:w="555" w:type="pct"/>
            <w:vAlign w:val="center"/>
          </w:tcPr>
          <w:p w14:paraId="14A211E7">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振动</w:t>
            </w:r>
          </w:p>
        </w:tc>
        <w:tc>
          <w:tcPr>
            <w:tcW w:w="1573" w:type="pct"/>
            <w:vAlign w:val="center"/>
          </w:tcPr>
          <w:p w14:paraId="55F210E6">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75679FD3">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73BBAD8B">
            <w:pPr>
              <w:keepNext w:val="0"/>
              <w:keepLines w:val="0"/>
              <w:suppressLineNumbers w:val="0"/>
              <w:spacing w:before="0" w:beforeAutospacing="0" w:after="0" w:afterAutospacing="0"/>
              <w:ind w:left="0" w:right="0"/>
              <w:jc w:val="center"/>
              <w:rPr>
                <w:szCs w:val="21"/>
              </w:rPr>
            </w:pPr>
            <w:r>
              <w:rPr>
                <w:szCs w:val="21"/>
              </w:rPr>
              <w:t>/</w:t>
            </w:r>
          </w:p>
        </w:tc>
        <w:tc>
          <w:tcPr>
            <w:tcW w:w="700" w:type="pct"/>
            <w:vAlign w:val="center"/>
          </w:tcPr>
          <w:p w14:paraId="3D7CC7FC">
            <w:pPr>
              <w:keepNext w:val="0"/>
              <w:keepLines w:val="0"/>
              <w:suppressLineNumbers w:val="0"/>
              <w:spacing w:before="0" w:beforeAutospacing="0" w:after="0" w:afterAutospacing="0"/>
              <w:ind w:left="0" w:right="0"/>
              <w:jc w:val="center"/>
              <w:rPr>
                <w:szCs w:val="21"/>
              </w:rPr>
            </w:pPr>
            <w:r>
              <w:rPr>
                <w:szCs w:val="21"/>
              </w:rPr>
              <w:t>/</w:t>
            </w:r>
          </w:p>
        </w:tc>
      </w:tr>
      <w:tr w14:paraId="0C310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568" w:hRule="atLeast"/>
          <w:jc w:val="center"/>
        </w:trPr>
        <w:tc>
          <w:tcPr>
            <w:tcW w:w="555" w:type="pct"/>
            <w:vAlign w:val="center"/>
          </w:tcPr>
          <w:p w14:paraId="3402BFB4">
            <w:pPr>
              <w:keepNext w:val="0"/>
              <w:keepLines w:val="0"/>
              <w:suppressLineNumbers w:val="0"/>
              <w:adjustRightInd w:val="0"/>
              <w:snapToGrid w:val="0"/>
              <w:spacing w:before="0" w:beforeAutospacing="0" w:after="0" w:afterAutospacing="0"/>
              <w:ind w:left="0" w:right="0"/>
              <w:jc w:val="center"/>
              <w:rPr>
                <w:rFonts w:hAnsi="宋体"/>
                <w:szCs w:val="21"/>
                <w:highlight w:val="yellow"/>
              </w:rPr>
            </w:pPr>
            <w:r>
              <w:rPr>
                <w:rFonts w:hAnsi="宋体"/>
                <w:szCs w:val="21"/>
              </w:rPr>
              <w:t>大气环境</w:t>
            </w:r>
          </w:p>
        </w:tc>
        <w:tc>
          <w:tcPr>
            <w:tcW w:w="1573" w:type="pct"/>
            <w:vAlign w:val="center"/>
          </w:tcPr>
          <w:p w14:paraId="2B68D46C">
            <w:pPr>
              <w:keepNext w:val="0"/>
              <w:keepLines w:val="0"/>
              <w:suppressLineNumbers w:val="0"/>
              <w:snapToGrid w:val="0"/>
              <w:spacing w:before="0" w:beforeAutospacing="0" w:after="0" w:afterAutospacing="0"/>
              <w:ind w:left="0" w:right="0" w:firstLine="420" w:firstLineChars="200"/>
              <w:rPr>
                <w:rFonts w:hAnsi="宋体"/>
                <w:szCs w:val="21"/>
              </w:rPr>
            </w:pPr>
            <w:r>
              <w:rPr>
                <w:rFonts w:hAnsi="宋体"/>
                <w:szCs w:val="21"/>
              </w:rPr>
              <w:t>（1）扬尘</w:t>
            </w:r>
          </w:p>
          <w:p w14:paraId="7779E646">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①对易起尘的临时堆土、运输过程中的土石方等采取密闭式防尘布（网）进行苫盖，施工面集中且有条件的地方宜采取洒水降水等有效措施，减少易造成大气污染的施工作业。遇到干燥、易起尘的土方工程作业时，应辅以洒水压尘，尽量缩短起尘操作时间。遇到四级或四级以上大风天气，应停止土方作业，同时作业处覆以防尘网。</w:t>
            </w:r>
          </w:p>
          <w:p w14:paraId="60839BA9">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 xml:space="preserve">②加强施工现场运输车辆管理。驶入建筑工地的运输车辆必须车身整洁，装载车厢完好，装载货物堆码整齐，不得污染道路；驶出建筑工地的运输车辆必须冲洗干净，严禁带泥上路，严禁超载，渣土及易抛洒材料实行封闭车辆运输，并应持证。防止建筑材料、垃圾和尘土飞扬、洒落和流溢。 </w:t>
            </w:r>
          </w:p>
          <w:p w14:paraId="15C77B0F">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 xml:space="preserve">③采用商品混凝土，现场不设混凝土搅拌站，严禁现场搅拌混凝土、砂浆。 </w:t>
            </w:r>
          </w:p>
          <w:p w14:paraId="629B39AC">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 xml:space="preserve">④施工现场的机械设备、车辆的尾气排放应符合国家环保排放标准。 </w:t>
            </w:r>
          </w:p>
          <w:p w14:paraId="7245E905">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⑤当环境空气质量指数达到中度及以上的污染时，应禁止进行土方等易产生扬尘污染的施工作业，施工现场应增加洒水频次，加强覆盖措施，减少易造成大气污染的施工作业。</w:t>
            </w:r>
          </w:p>
          <w:p w14:paraId="3627EB02">
            <w:pPr>
              <w:keepNext w:val="0"/>
              <w:keepLines w:val="0"/>
              <w:suppressLineNumbers w:val="0"/>
              <w:snapToGrid w:val="0"/>
              <w:spacing w:before="0" w:beforeAutospacing="0" w:after="0" w:afterAutospacing="0"/>
              <w:ind w:left="0" w:right="0" w:firstLine="420" w:firstLineChars="200"/>
              <w:rPr>
                <w:rFonts w:hAnsi="宋体"/>
                <w:szCs w:val="21"/>
              </w:rPr>
            </w:pPr>
            <w:r>
              <w:rPr>
                <w:rFonts w:hAnsi="宋体"/>
                <w:szCs w:val="21"/>
              </w:rPr>
              <w:t>（</w:t>
            </w:r>
            <w:r>
              <w:rPr>
                <w:rFonts w:hint="eastAsia" w:hAnsi="宋体"/>
                <w:szCs w:val="21"/>
              </w:rPr>
              <w:t>2</w:t>
            </w:r>
            <w:r>
              <w:rPr>
                <w:rFonts w:hAnsi="宋体"/>
                <w:szCs w:val="21"/>
              </w:rPr>
              <w:t>）</w:t>
            </w:r>
            <w:r>
              <w:rPr>
                <w:rFonts w:hint="eastAsia" w:hAnsi="宋体"/>
                <w:szCs w:val="21"/>
              </w:rPr>
              <w:t>汽车尾气</w:t>
            </w:r>
          </w:p>
          <w:p w14:paraId="511864C8">
            <w:pPr>
              <w:keepNext w:val="0"/>
              <w:keepLines w:val="0"/>
              <w:suppressLineNumbers w:val="0"/>
              <w:snapToGrid w:val="0"/>
              <w:spacing w:before="0" w:beforeAutospacing="0" w:after="0" w:afterAutospacing="0"/>
              <w:ind w:left="0" w:right="0" w:firstLine="420" w:firstLineChars="200"/>
              <w:rPr>
                <w:rFonts w:hAnsi="宋体"/>
                <w:szCs w:val="21"/>
              </w:rPr>
            </w:pPr>
            <w:r>
              <w:rPr>
                <w:rFonts w:hAnsi="宋体"/>
                <w:szCs w:val="21"/>
              </w:rPr>
              <w:t>拟采取如下控制措施减少</w:t>
            </w:r>
            <w:r>
              <w:rPr>
                <w:rFonts w:hint="eastAsia" w:hAnsi="宋体"/>
                <w:szCs w:val="21"/>
              </w:rPr>
              <w:t>施工期汽车尾气</w:t>
            </w:r>
            <w:r>
              <w:rPr>
                <w:rFonts w:hAnsi="宋体"/>
                <w:szCs w:val="21"/>
              </w:rPr>
              <w:t>的影响：</w:t>
            </w:r>
          </w:p>
          <w:p w14:paraId="6571B04A">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施工单位应选用符合国家卫生防护标准的施工机械和运输工具，确保其废气排放符合《非道路移动机械用柴油机排气污染物排放限值及测量方法》（GB20891-2014）标准限值，</w:t>
            </w:r>
            <w:r>
              <w:rPr>
                <w:rFonts w:hAnsi="宋体"/>
                <w:szCs w:val="21"/>
              </w:rPr>
              <w:t>加强对施工机械及施工车辆的检修和维护，严禁使用超期服役和尾气超标的施工机械及车辆。</w:t>
            </w:r>
          </w:p>
        </w:tc>
        <w:tc>
          <w:tcPr>
            <w:tcW w:w="563" w:type="pct"/>
            <w:vAlign w:val="center"/>
          </w:tcPr>
          <w:p w14:paraId="721036F6">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相关措施落实，对周边大气环境未造成明显污染</w:t>
            </w:r>
          </w:p>
        </w:tc>
        <w:tc>
          <w:tcPr>
            <w:tcW w:w="1607" w:type="pct"/>
            <w:vAlign w:val="center"/>
          </w:tcPr>
          <w:p w14:paraId="1928DE57">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w:t>
            </w:r>
          </w:p>
        </w:tc>
        <w:tc>
          <w:tcPr>
            <w:tcW w:w="700" w:type="pct"/>
            <w:vAlign w:val="center"/>
          </w:tcPr>
          <w:p w14:paraId="142518A9">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w:t>
            </w:r>
          </w:p>
        </w:tc>
      </w:tr>
      <w:tr w14:paraId="1FE8B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976" w:hRule="atLeast"/>
          <w:jc w:val="center"/>
        </w:trPr>
        <w:tc>
          <w:tcPr>
            <w:tcW w:w="555" w:type="pct"/>
            <w:vAlign w:val="center"/>
          </w:tcPr>
          <w:p w14:paraId="49E647FA">
            <w:pPr>
              <w:keepNext w:val="0"/>
              <w:keepLines w:val="0"/>
              <w:suppressLineNumbers w:val="0"/>
              <w:adjustRightInd w:val="0"/>
              <w:snapToGrid w:val="0"/>
              <w:spacing w:before="0" w:beforeAutospacing="0" w:after="0" w:afterAutospacing="0"/>
              <w:ind w:left="0" w:right="0"/>
              <w:jc w:val="center"/>
              <w:rPr>
                <w:rFonts w:hAnsi="宋体"/>
                <w:szCs w:val="21"/>
                <w:highlight w:val="yellow"/>
              </w:rPr>
            </w:pPr>
            <w:r>
              <w:rPr>
                <w:rFonts w:hAnsi="宋体"/>
                <w:szCs w:val="21"/>
              </w:rPr>
              <w:t>固体废物</w:t>
            </w:r>
          </w:p>
        </w:tc>
        <w:tc>
          <w:tcPr>
            <w:tcW w:w="1573" w:type="pct"/>
            <w:vAlign w:val="center"/>
          </w:tcPr>
          <w:p w14:paraId="2459AAA3">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（1）生活垃圾</w:t>
            </w:r>
          </w:p>
          <w:p w14:paraId="31D00B97">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生活垃圾集中收集至带盖垃圾箱内，定期清运至库米什镇就近的生活垃圾收集点，最终由库米什镇环卫部门统一清运处置。</w:t>
            </w:r>
          </w:p>
          <w:p w14:paraId="0B5F9B61">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（2）建筑垃圾</w:t>
            </w:r>
          </w:p>
          <w:p w14:paraId="1FCDDC70">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施工单位应加强管理，禁止在施工过程中随意丢弃、抛洒建筑垃圾，要做到堆放有序，及时清运至市政部门指定的堆放点妥善堆存。</w:t>
            </w:r>
          </w:p>
          <w:p w14:paraId="10EA0C32">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（3）弃土石方</w:t>
            </w:r>
          </w:p>
          <w:p w14:paraId="3FFCF955">
            <w:pPr>
              <w:keepNext w:val="0"/>
              <w:keepLines w:val="0"/>
              <w:suppressLineNumbers w:val="0"/>
              <w:spacing w:before="0" w:beforeAutospacing="0" w:after="0" w:afterAutospacing="0"/>
              <w:ind w:left="0" w:right="0" w:firstLine="210" w:firstLineChars="100"/>
              <w:rPr>
                <w:rFonts w:hAnsi="宋体" w:cs="宋体"/>
                <w:szCs w:val="21"/>
              </w:rPr>
            </w:pPr>
            <w:r>
              <w:rPr>
                <w:rFonts w:hint="eastAsia" w:hAnsi="宋体" w:cs="宋体"/>
                <w:szCs w:val="21"/>
              </w:rPr>
              <w:t>根据可研设计资料，本项目开挖土石方22524m³，共回填土石方22524m³，无弃土石方。</w:t>
            </w:r>
          </w:p>
          <w:p w14:paraId="49FDB81B">
            <w:pPr>
              <w:keepNext w:val="0"/>
              <w:keepLines w:val="0"/>
              <w:suppressLineNumbers w:val="0"/>
              <w:spacing w:before="0" w:beforeAutospacing="0" w:after="0" w:afterAutospacing="0"/>
              <w:ind w:left="0" w:right="0" w:firstLine="210" w:firstLineChars="100"/>
              <w:rPr>
                <w:rFonts w:hAnsi="宋体"/>
                <w:szCs w:val="21"/>
              </w:rPr>
            </w:pPr>
          </w:p>
        </w:tc>
        <w:tc>
          <w:tcPr>
            <w:tcW w:w="563" w:type="pct"/>
            <w:vAlign w:val="center"/>
          </w:tcPr>
          <w:p w14:paraId="3EDEB305">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处置率100%</w:t>
            </w:r>
          </w:p>
          <w:p w14:paraId="7A7AA821">
            <w:pPr>
              <w:keepNext w:val="0"/>
              <w:keepLines w:val="0"/>
              <w:suppressLineNumbers w:val="0"/>
              <w:adjustRightInd w:val="0"/>
              <w:snapToGrid w:val="0"/>
              <w:spacing w:before="0" w:beforeAutospacing="0" w:after="0" w:afterAutospacing="0"/>
              <w:ind w:left="0" w:right="0"/>
              <w:jc w:val="left"/>
              <w:rPr>
                <w:rFonts w:hAnsi="宋体"/>
                <w:szCs w:val="21"/>
                <w:highlight w:val="yellow"/>
              </w:rPr>
            </w:pPr>
          </w:p>
        </w:tc>
        <w:tc>
          <w:tcPr>
            <w:tcW w:w="1607" w:type="pct"/>
            <w:vAlign w:val="center"/>
          </w:tcPr>
          <w:p w14:paraId="637CE42D">
            <w:pPr>
              <w:keepNext w:val="0"/>
              <w:keepLines w:val="0"/>
              <w:suppressLineNumbers w:val="0"/>
              <w:adjustRightInd w:val="0"/>
              <w:snapToGrid w:val="0"/>
              <w:spacing w:before="0" w:beforeAutospacing="0" w:after="0" w:afterAutospacing="0"/>
              <w:ind w:left="0" w:right="0"/>
              <w:rPr>
                <w:rFonts w:hAnsi="宋体"/>
                <w:szCs w:val="21"/>
                <w:lang w:val="zh-CN"/>
              </w:rPr>
            </w:pPr>
            <w:r>
              <w:rPr>
                <w:rFonts w:hint="eastAsia" w:hAnsi="宋体"/>
                <w:szCs w:val="21"/>
                <w:lang w:val="zh-CN"/>
              </w:rPr>
              <w:t>①本项目设置带盖垃圾箱，生活垃圾、食堂隔油池油泥集中收集到带盖垃圾箱内，定期清运至库米什镇就近的生活垃圾收集点，最终由库米什镇环卫部门统一清运处置。</w:t>
            </w:r>
          </w:p>
          <w:p w14:paraId="5E5BCD9D">
            <w:pPr>
              <w:keepNext w:val="0"/>
              <w:keepLines w:val="0"/>
              <w:suppressLineNumbers w:val="0"/>
              <w:adjustRightInd w:val="0"/>
              <w:snapToGrid w:val="0"/>
              <w:spacing w:before="0" w:beforeAutospacing="0" w:after="0" w:afterAutospacing="0"/>
              <w:ind w:left="0" w:right="0"/>
              <w:rPr>
                <w:rFonts w:hAnsi="宋体"/>
                <w:szCs w:val="21"/>
                <w:lang w:val="zh-CN"/>
              </w:rPr>
            </w:pPr>
            <w:r>
              <w:rPr>
                <w:rFonts w:hint="eastAsia" w:hAnsi="宋体"/>
                <w:szCs w:val="21"/>
                <w:lang w:val="zh-CN"/>
              </w:rPr>
              <w:t>②本环评要求在升压站的管理区内设置1间危废暂存间，占地面积20m</w:t>
            </w:r>
            <w:r>
              <w:rPr>
                <w:rFonts w:hint="eastAsia" w:hAnsi="宋体"/>
                <w:szCs w:val="21"/>
                <w:vertAlign w:val="superscript"/>
                <w:lang w:val="zh-CN"/>
              </w:rPr>
              <w:t>2</w:t>
            </w:r>
            <w:r>
              <w:rPr>
                <w:rFonts w:hint="eastAsia" w:hAnsi="宋体"/>
                <w:szCs w:val="21"/>
                <w:lang w:val="zh-CN"/>
              </w:rPr>
              <w:t>，本项目产生的废变压器油、废铅酸蓄电池分别收集到密封容器内，暂存于危废暂存间，最终交给有危险废物处置资质的单位转移处置。</w:t>
            </w:r>
          </w:p>
          <w:p w14:paraId="0895F39C">
            <w:pPr>
              <w:keepNext w:val="0"/>
              <w:keepLines w:val="0"/>
              <w:suppressLineNumbers w:val="0"/>
              <w:spacing w:before="0" w:beforeAutospacing="0" w:after="0" w:afterAutospacing="0"/>
              <w:ind w:left="0" w:right="0" w:firstLine="210" w:firstLineChars="100"/>
              <w:rPr>
                <w:rFonts w:hAnsi="宋体"/>
                <w:szCs w:val="21"/>
              </w:rPr>
            </w:pPr>
          </w:p>
        </w:tc>
        <w:tc>
          <w:tcPr>
            <w:tcW w:w="700" w:type="pct"/>
            <w:vAlign w:val="center"/>
          </w:tcPr>
          <w:p w14:paraId="2ED8A6B7">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按照</w:t>
            </w:r>
            <w:r>
              <w:rPr>
                <w:rFonts w:hint="eastAsia" w:hAnsi="宋体"/>
                <w:szCs w:val="21"/>
                <w:lang w:val="zh-CN"/>
              </w:rPr>
              <w:t>《危险废物贮存污染控制标准》（GB 18597-2023）</w:t>
            </w:r>
            <w:r>
              <w:rPr>
                <w:rFonts w:hint="eastAsia" w:hAnsi="宋体"/>
                <w:szCs w:val="21"/>
              </w:rPr>
              <w:t>及其修改单要求、《危险废物管理计划和管理台账制定技术导则》（HJ 1259-2022）要求管理</w:t>
            </w:r>
          </w:p>
        </w:tc>
      </w:tr>
      <w:tr w14:paraId="204F7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5658" w:hRule="atLeast"/>
          <w:jc w:val="center"/>
        </w:trPr>
        <w:tc>
          <w:tcPr>
            <w:tcW w:w="555" w:type="pct"/>
            <w:vAlign w:val="center"/>
          </w:tcPr>
          <w:p w14:paraId="574FF94B">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电磁环境</w:t>
            </w:r>
          </w:p>
        </w:tc>
        <w:tc>
          <w:tcPr>
            <w:tcW w:w="1573" w:type="pct"/>
            <w:vAlign w:val="center"/>
          </w:tcPr>
          <w:p w14:paraId="407EA4FA">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6B7F856D">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5EE9FFD2">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lang w:val="zh-CN"/>
              </w:rPr>
              <w:t>（1）升压站内首先选择低噪声的设备，在总平面布置上，按功能分区布置。</w:t>
            </w:r>
          </w:p>
          <w:p w14:paraId="34AEBEFC">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lang w:val="zh-CN"/>
              </w:rPr>
              <w:t>（2）对员工进行电磁辐射基础知识培训，在巡检带电维修过程中，尽可能减少暴露在电磁场中的时间。</w:t>
            </w:r>
          </w:p>
          <w:p w14:paraId="3DCAB0DA">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lang w:val="zh-CN"/>
              </w:rPr>
              <w:t>（</w:t>
            </w:r>
            <w:r>
              <w:rPr>
                <w:rFonts w:hint="eastAsia" w:hAnsi="宋体"/>
                <w:szCs w:val="21"/>
              </w:rPr>
              <w:t>3</w:t>
            </w:r>
            <w:r>
              <w:rPr>
                <w:rFonts w:hint="eastAsia" w:hAnsi="宋体"/>
                <w:szCs w:val="21"/>
                <w:lang w:val="zh-CN"/>
              </w:rPr>
              <w:t>）</w:t>
            </w:r>
            <w:r>
              <w:rPr>
                <w:rFonts w:hint="eastAsia" w:hAnsi="宋体"/>
                <w:szCs w:val="21"/>
              </w:rPr>
              <w:t>加强架空线路巡检工作，确保线路的安全运行。</w:t>
            </w:r>
          </w:p>
          <w:p w14:paraId="2B15D487">
            <w:pPr>
              <w:keepNext w:val="0"/>
              <w:keepLines w:val="0"/>
              <w:suppressLineNumbers w:val="0"/>
              <w:adjustRightInd w:val="0"/>
              <w:snapToGrid w:val="0"/>
              <w:spacing w:before="0" w:beforeAutospacing="0" w:after="0" w:afterAutospacing="0"/>
              <w:ind w:left="0" w:right="0" w:firstLine="420" w:firstLineChars="200"/>
              <w:rPr>
                <w:rFonts w:hAnsi="宋体"/>
                <w:szCs w:val="21"/>
                <w:lang w:val="zh-CN"/>
              </w:rPr>
            </w:pPr>
            <w:r>
              <w:rPr>
                <w:rFonts w:hint="eastAsia" w:hAnsi="宋体"/>
                <w:szCs w:val="21"/>
                <w:lang w:val="zh-CN"/>
              </w:rPr>
              <w:t>（</w:t>
            </w:r>
            <w:r>
              <w:rPr>
                <w:rFonts w:hint="eastAsia" w:hAnsi="宋体"/>
                <w:szCs w:val="21"/>
              </w:rPr>
              <w:t>4</w:t>
            </w:r>
            <w:r>
              <w:rPr>
                <w:rFonts w:hint="eastAsia" w:hAnsi="宋体"/>
                <w:szCs w:val="21"/>
                <w:lang w:val="zh-CN"/>
              </w:rPr>
              <w:t>）制定安全操作规程，加强职工安全教育，加强电磁水平监测。</w:t>
            </w:r>
          </w:p>
          <w:p w14:paraId="0F985B36">
            <w:pPr>
              <w:keepNext w:val="0"/>
              <w:keepLines w:val="0"/>
              <w:suppressLineNumbers w:val="0"/>
              <w:adjustRightInd w:val="0"/>
              <w:snapToGrid w:val="0"/>
              <w:spacing w:before="0" w:beforeAutospacing="0" w:after="0" w:afterAutospacing="0"/>
              <w:ind w:left="0" w:right="0" w:firstLine="420" w:firstLineChars="200"/>
              <w:rPr>
                <w:szCs w:val="21"/>
              </w:rPr>
            </w:pPr>
            <w:r>
              <w:rPr>
                <w:rFonts w:hint="eastAsia" w:hAnsi="宋体"/>
                <w:szCs w:val="21"/>
                <w:lang w:val="zh-CN"/>
              </w:rPr>
              <w:t>（</w:t>
            </w:r>
            <w:r>
              <w:rPr>
                <w:rFonts w:hint="eastAsia" w:hAnsi="宋体"/>
                <w:szCs w:val="21"/>
              </w:rPr>
              <w:t>5</w:t>
            </w:r>
            <w:r>
              <w:rPr>
                <w:rFonts w:hint="eastAsia" w:hAnsi="宋体"/>
                <w:szCs w:val="21"/>
                <w:lang w:val="zh-CN"/>
              </w:rPr>
              <w:t>）设立警示标志，禁止无关人员进入升压站或靠近带电架构。</w:t>
            </w:r>
          </w:p>
        </w:tc>
        <w:tc>
          <w:tcPr>
            <w:tcW w:w="700" w:type="pct"/>
            <w:vAlign w:val="center"/>
          </w:tcPr>
          <w:p w14:paraId="595529B3">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线路运行时产生的</w:t>
            </w:r>
          </w:p>
          <w:p w14:paraId="01E7F360">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电磁满足《电磁环境</w:t>
            </w:r>
          </w:p>
          <w:p w14:paraId="39D69B32">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 xml:space="preserve">控制限值》 </w:t>
            </w:r>
          </w:p>
          <w:p w14:paraId="293F27DF">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(GB8702-2014)</w:t>
            </w:r>
            <w:r>
              <w:rPr>
                <w:rFonts w:hint="eastAsia" w:hAnsi="宋体"/>
                <w:szCs w:val="21"/>
              </w:rPr>
              <w:t>要求</w:t>
            </w:r>
          </w:p>
          <w:p w14:paraId="40BD9E1E">
            <w:pPr>
              <w:keepNext w:val="0"/>
              <w:keepLines w:val="0"/>
              <w:suppressLineNumbers w:val="0"/>
              <w:spacing w:before="0" w:beforeAutospacing="0" w:after="0" w:afterAutospacing="0"/>
              <w:ind w:left="0" w:right="0"/>
              <w:jc w:val="center"/>
              <w:rPr>
                <w:szCs w:val="21"/>
              </w:rPr>
            </w:pPr>
          </w:p>
        </w:tc>
      </w:tr>
      <w:tr w14:paraId="33C8F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903" w:hRule="atLeast"/>
          <w:jc w:val="center"/>
        </w:trPr>
        <w:tc>
          <w:tcPr>
            <w:tcW w:w="555" w:type="pct"/>
            <w:vAlign w:val="center"/>
          </w:tcPr>
          <w:p w14:paraId="0F956422">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环境风险</w:t>
            </w:r>
          </w:p>
        </w:tc>
        <w:tc>
          <w:tcPr>
            <w:tcW w:w="1573" w:type="pct"/>
            <w:vAlign w:val="center"/>
          </w:tcPr>
          <w:p w14:paraId="15AEEBCB">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2F9A99BE">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589EE9D5">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①禁止猛烈敲击，防止产生火花。</w:t>
            </w:r>
            <w:r>
              <w:rPr>
                <w:rFonts w:hAnsi="宋体"/>
                <w:szCs w:val="21"/>
              </w:rPr>
              <w:t>设备检修时，先</w:t>
            </w:r>
            <w:r>
              <w:rPr>
                <w:rFonts w:hint="eastAsia" w:hAnsi="宋体"/>
                <w:szCs w:val="21"/>
              </w:rPr>
              <w:t>做</w:t>
            </w:r>
            <w:r>
              <w:rPr>
                <w:rFonts w:hAnsi="宋体"/>
                <w:szCs w:val="21"/>
              </w:rPr>
              <w:t>置换并分析合格，且有效切断</w:t>
            </w:r>
            <w:r>
              <w:rPr>
                <w:rFonts w:hint="eastAsia" w:hAnsi="宋体"/>
                <w:szCs w:val="21"/>
              </w:rPr>
              <w:t>电源后才开始检修。升压站内配置灭火器及消防沙箱消防沙箱、消防桶和消防铲等消防工具。</w:t>
            </w:r>
          </w:p>
          <w:p w14:paraId="1E8C977E">
            <w:pPr>
              <w:keepNext w:val="0"/>
              <w:keepLines w:val="0"/>
              <w:suppressLineNumbers w:val="0"/>
              <w:snapToGrid w:val="0"/>
              <w:spacing w:before="0" w:beforeAutospacing="0" w:after="0" w:afterAutospacing="0"/>
              <w:ind w:left="0" w:right="0" w:firstLine="420" w:firstLineChars="200"/>
              <w:rPr>
                <w:rFonts w:hAnsi="宋体"/>
                <w:szCs w:val="21"/>
              </w:rPr>
            </w:pPr>
            <w:r>
              <w:rPr>
                <w:rFonts w:hint="eastAsia" w:hAnsi="宋体"/>
                <w:szCs w:val="21"/>
              </w:rPr>
              <w:t>②严格管理，人为因素往往是事故发生的主要原因，因此严格管理是预防事故发生的重要环节。主要内容包括：加强对职工的思想教育，以提高工作人员的责任心和工作主动性；操作人员要进行岗位系统培训，熟悉工作程序、规程、加强岗位责任制。</w:t>
            </w:r>
          </w:p>
          <w:p w14:paraId="0E76C128">
            <w:pPr>
              <w:keepNext w:val="0"/>
              <w:keepLines w:val="0"/>
              <w:suppressLineNumbers w:val="0"/>
              <w:snapToGrid w:val="0"/>
              <w:spacing w:before="0" w:beforeAutospacing="0" w:after="0" w:afterAutospacing="0"/>
              <w:ind w:left="0" w:right="0" w:firstLine="420" w:firstLineChars="200"/>
              <w:rPr>
                <w:szCs w:val="21"/>
              </w:rPr>
            </w:pPr>
            <w:r>
              <w:rPr>
                <w:rFonts w:hint="eastAsia" w:hAnsi="宋体"/>
                <w:szCs w:val="21"/>
              </w:rPr>
              <w:t>③在</w:t>
            </w:r>
            <w:r>
              <w:rPr>
                <w:rFonts w:hint="eastAsia" w:hAnsi="宋体"/>
                <w:szCs w:val="21"/>
                <w:lang w:val="zh-CN"/>
              </w:rPr>
              <w:t>主变底部设地下钢筋混凝土贮油坑，设计容积</w:t>
            </w:r>
            <w:r>
              <w:rPr>
                <w:rFonts w:hint="eastAsia" w:hAnsi="宋体"/>
                <w:szCs w:val="21"/>
              </w:rPr>
              <w:t>1</w:t>
            </w:r>
            <w:r>
              <w:rPr>
                <w:rFonts w:hint="eastAsia" w:hAnsi="宋体"/>
                <w:szCs w:val="21"/>
                <w:lang w:val="zh-CN"/>
              </w:rPr>
              <w:t>5</w:t>
            </w:r>
            <w:r>
              <w:rPr>
                <w:rFonts w:hint="eastAsia" w:hAnsi="宋体"/>
                <w:szCs w:val="21"/>
              </w:rPr>
              <w:t>m³</w:t>
            </w:r>
            <w:r>
              <w:rPr>
                <w:rFonts w:hint="eastAsia" w:hAnsi="宋体"/>
                <w:szCs w:val="21"/>
                <w:lang w:val="zh-CN"/>
              </w:rPr>
              <w:t>，大于主变油量的20%，贮油坑四周设挡油坎，高出地面100mm。坑内铺设卵石，坑底设有排油管，能将事故油排至事故油池中。本项目设计在升压站内建设事故油池1座(容积</w:t>
            </w:r>
            <w:r>
              <w:rPr>
                <w:rFonts w:hint="eastAsia" w:hAnsi="宋体"/>
                <w:szCs w:val="21"/>
              </w:rPr>
              <w:t>70m³</w:t>
            </w:r>
            <w:r>
              <w:rPr>
                <w:rFonts w:hint="eastAsia" w:hAnsi="宋体"/>
                <w:szCs w:val="21"/>
                <w:lang w:val="zh-CN"/>
              </w:rPr>
              <w:t>)，可使变压器在发生事故时，壳体内的油经过铸铁管排入事故油池，防止变压器油随意乱排造成对环境的污染。本项目单台变压器油重约</w:t>
            </w:r>
            <w:r>
              <w:rPr>
                <w:rFonts w:hint="eastAsia" w:hAnsi="宋体"/>
                <w:szCs w:val="21"/>
              </w:rPr>
              <w:t>57</w:t>
            </w:r>
            <w:r>
              <w:rPr>
                <w:rFonts w:hint="eastAsia" w:hAnsi="宋体"/>
                <w:szCs w:val="21"/>
                <w:lang w:val="zh-CN"/>
              </w:rPr>
              <w:t>t(约</w:t>
            </w:r>
            <w:r>
              <w:rPr>
                <w:rFonts w:hint="eastAsia" w:hAnsi="宋体"/>
                <w:szCs w:val="21"/>
              </w:rPr>
              <w:t>63.7m³</w:t>
            </w:r>
            <w:r>
              <w:rPr>
                <w:rFonts w:hint="eastAsia" w:hAnsi="宋体"/>
                <w:szCs w:val="21"/>
                <w:lang w:val="zh-CN"/>
              </w:rPr>
              <w:t>)，事故油池容积</w:t>
            </w:r>
            <w:r>
              <w:rPr>
                <w:rFonts w:hint="eastAsia" w:hAnsi="宋体"/>
                <w:szCs w:val="21"/>
              </w:rPr>
              <w:t>70m³</w:t>
            </w:r>
            <w:r>
              <w:rPr>
                <w:rFonts w:hint="eastAsia" w:hAnsi="宋体"/>
                <w:szCs w:val="21"/>
                <w:lang w:val="zh-CN"/>
              </w:rPr>
              <w:t>，满足最大单台变压器100%排油量要求。本项目的变压器下的储油坑及事故油池建设</w:t>
            </w:r>
            <w:r>
              <w:rPr>
                <w:rFonts w:hint="eastAsia" w:hAnsi="宋体"/>
                <w:szCs w:val="21"/>
              </w:rPr>
              <w:t>事故油池基础必须防渗，要求严格按照《危险废物贮存污染控制标准》(GB18597-2023)进行设计、施工。</w:t>
            </w:r>
          </w:p>
          <w:p w14:paraId="3E6A2F3E">
            <w:pPr>
              <w:keepNext w:val="0"/>
              <w:keepLines w:val="0"/>
              <w:suppressLineNumbers w:val="0"/>
              <w:snapToGrid w:val="0"/>
              <w:spacing w:before="0" w:beforeAutospacing="0" w:after="0" w:afterAutospacing="0"/>
              <w:ind w:left="0" w:right="0" w:firstLine="420" w:firstLineChars="200"/>
              <w:rPr>
                <w:rFonts w:ascii="宋体" w:hAnsi="宋体"/>
                <w:szCs w:val="21"/>
              </w:rPr>
            </w:pPr>
            <w:r>
              <w:rPr>
                <w:rFonts w:hint="eastAsia" w:hAnsi="宋体"/>
                <w:szCs w:val="21"/>
              </w:rPr>
              <w:t>④在可能发生油品泄漏的部位设置监控探头，站区的出入口、边界及安防监控中心设视频监控系统，视频安防监控系统应对监控区域内的人员和机动车的出入、活动情况及治安秩序进行24h视频监控并录像，以便设备出现故障时能够及时发现和解决，确保不发生突发环境污染事件</w:t>
            </w:r>
            <w:r>
              <w:rPr>
                <w:rFonts w:hint="eastAsia" w:ascii="宋体" w:hAnsi="宋体"/>
                <w:szCs w:val="21"/>
              </w:rPr>
              <w:t>。</w:t>
            </w:r>
          </w:p>
          <w:p w14:paraId="135787A2">
            <w:pPr>
              <w:keepNext w:val="0"/>
              <w:keepLines w:val="0"/>
              <w:suppressLineNumbers w:val="0"/>
              <w:spacing w:before="0" w:beforeAutospacing="0" w:after="0" w:afterAutospacing="0"/>
              <w:ind w:left="0" w:right="0" w:firstLine="210" w:firstLineChars="100"/>
              <w:rPr>
                <w:rFonts w:hAnsi="宋体"/>
                <w:szCs w:val="21"/>
              </w:rPr>
            </w:pPr>
          </w:p>
        </w:tc>
        <w:tc>
          <w:tcPr>
            <w:tcW w:w="700" w:type="pct"/>
            <w:vAlign w:val="center"/>
          </w:tcPr>
          <w:p w14:paraId="40CB5365">
            <w:pPr>
              <w:keepNext w:val="0"/>
              <w:keepLines w:val="0"/>
              <w:suppressLineNumbers w:val="0"/>
              <w:adjustRightInd w:val="0"/>
              <w:snapToGrid w:val="0"/>
              <w:spacing w:before="0" w:beforeAutospacing="0" w:after="0" w:afterAutospacing="0"/>
              <w:ind w:left="0" w:right="0"/>
              <w:jc w:val="center"/>
              <w:rPr>
                <w:rFonts w:hAnsi="宋体"/>
                <w:szCs w:val="21"/>
              </w:rPr>
            </w:pPr>
            <w:r>
              <w:rPr>
                <w:rFonts w:hint="eastAsia" w:hAnsi="宋体"/>
                <w:szCs w:val="21"/>
              </w:rPr>
              <w:t>落实措施</w:t>
            </w:r>
          </w:p>
        </w:tc>
      </w:tr>
      <w:tr w14:paraId="3C498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661" w:hRule="atLeast"/>
          <w:jc w:val="center"/>
        </w:trPr>
        <w:tc>
          <w:tcPr>
            <w:tcW w:w="555" w:type="pct"/>
            <w:vAlign w:val="center"/>
          </w:tcPr>
          <w:p w14:paraId="7FEA8107">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环境监测</w:t>
            </w:r>
          </w:p>
        </w:tc>
        <w:tc>
          <w:tcPr>
            <w:tcW w:w="1573" w:type="pct"/>
            <w:vAlign w:val="center"/>
          </w:tcPr>
          <w:p w14:paraId="11D1F8BF">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64975D1C">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1174092C">
            <w:pPr>
              <w:keepNext w:val="0"/>
              <w:keepLines w:val="0"/>
              <w:suppressLineNumbers w:val="0"/>
              <w:spacing w:before="0" w:beforeAutospacing="0" w:after="0" w:afterAutospacing="0"/>
              <w:ind w:left="0" w:right="0"/>
              <w:jc w:val="center"/>
              <w:rPr>
                <w:rFonts w:hAnsi="宋体"/>
                <w:szCs w:val="21"/>
              </w:rPr>
            </w:pPr>
            <w:r>
              <w:rPr>
                <w:rFonts w:hint="eastAsia" w:hAnsi="宋体"/>
                <w:szCs w:val="21"/>
              </w:rPr>
              <w:t>委托环境监测机构定期对站界噪声、电磁辐射进行例行监测。</w:t>
            </w:r>
          </w:p>
        </w:tc>
        <w:tc>
          <w:tcPr>
            <w:tcW w:w="700" w:type="pct"/>
            <w:vAlign w:val="center"/>
          </w:tcPr>
          <w:p w14:paraId="1B4EC121">
            <w:pPr>
              <w:keepNext w:val="0"/>
              <w:keepLines w:val="0"/>
              <w:suppressLineNumbers w:val="0"/>
              <w:snapToGrid w:val="0"/>
              <w:spacing w:before="0" w:beforeAutospacing="0" w:after="0" w:afterAutospacing="0"/>
              <w:ind w:left="0" w:right="0"/>
              <w:jc w:val="center"/>
              <w:rPr>
                <w:rFonts w:hAnsi="宋体"/>
                <w:szCs w:val="21"/>
              </w:rPr>
            </w:pPr>
            <w:r>
              <w:rPr>
                <w:rFonts w:hint="eastAsia" w:hAnsi="宋体"/>
                <w:szCs w:val="21"/>
              </w:rPr>
              <w:t>噪声1次/季度；电磁辐射/</w:t>
            </w:r>
            <w:r>
              <w:rPr>
                <w:color w:val="000000"/>
                <w:kern w:val="0"/>
                <w:szCs w:val="21"/>
              </w:rPr>
              <w:t>竣工环保验收时监测一次，</w:t>
            </w:r>
            <w:r>
              <w:rPr>
                <w:rFonts w:hint="eastAsia"/>
                <w:color w:val="000000"/>
                <w:kern w:val="0"/>
                <w:szCs w:val="21"/>
              </w:rPr>
              <w:t>出现</w:t>
            </w:r>
            <w:r>
              <w:rPr>
                <w:color w:val="000000"/>
                <w:kern w:val="0"/>
                <w:szCs w:val="21"/>
              </w:rPr>
              <w:t>环保投诉时建设单位组织开展监测</w:t>
            </w:r>
            <w:r>
              <w:rPr>
                <w:rFonts w:hint="eastAsia"/>
                <w:color w:val="000000"/>
                <w:kern w:val="0"/>
                <w:szCs w:val="21"/>
              </w:rPr>
              <w:t>；食堂油烟1次/年；生活污水1次/年</w:t>
            </w:r>
          </w:p>
        </w:tc>
      </w:tr>
      <w:tr w14:paraId="4CB68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845" w:hRule="atLeast"/>
          <w:jc w:val="center"/>
        </w:trPr>
        <w:tc>
          <w:tcPr>
            <w:tcW w:w="555" w:type="pct"/>
            <w:vAlign w:val="center"/>
          </w:tcPr>
          <w:p w14:paraId="0CB6C563">
            <w:pPr>
              <w:keepNext w:val="0"/>
              <w:keepLines w:val="0"/>
              <w:suppressLineNumbers w:val="0"/>
              <w:adjustRightInd w:val="0"/>
              <w:snapToGrid w:val="0"/>
              <w:spacing w:before="0" w:beforeAutospacing="0" w:after="0" w:afterAutospacing="0"/>
              <w:ind w:left="0" w:right="0"/>
              <w:jc w:val="center"/>
              <w:rPr>
                <w:rFonts w:hAnsi="宋体"/>
                <w:szCs w:val="21"/>
              </w:rPr>
            </w:pPr>
            <w:r>
              <w:rPr>
                <w:rFonts w:hAnsi="宋体"/>
                <w:szCs w:val="21"/>
              </w:rPr>
              <w:t>其他</w:t>
            </w:r>
          </w:p>
        </w:tc>
        <w:tc>
          <w:tcPr>
            <w:tcW w:w="1573" w:type="pct"/>
            <w:vAlign w:val="center"/>
          </w:tcPr>
          <w:p w14:paraId="56A3C574">
            <w:pPr>
              <w:keepNext w:val="0"/>
              <w:keepLines w:val="0"/>
              <w:suppressLineNumbers w:val="0"/>
              <w:spacing w:before="0" w:beforeAutospacing="0" w:after="0" w:afterAutospacing="0"/>
              <w:ind w:left="0" w:right="0"/>
              <w:jc w:val="center"/>
              <w:rPr>
                <w:szCs w:val="21"/>
              </w:rPr>
            </w:pPr>
            <w:r>
              <w:rPr>
                <w:szCs w:val="21"/>
              </w:rPr>
              <w:t>/</w:t>
            </w:r>
          </w:p>
        </w:tc>
        <w:tc>
          <w:tcPr>
            <w:tcW w:w="563" w:type="pct"/>
            <w:vAlign w:val="center"/>
          </w:tcPr>
          <w:p w14:paraId="798D86C3">
            <w:pPr>
              <w:keepNext w:val="0"/>
              <w:keepLines w:val="0"/>
              <w:suppressLineNumbers w:val="0"/>
              <w:spacing w:before="0" w:beforeAutospacing="0" w:after="0" w:afterAutospacing="0"/>
              <w:ind w:left="0" w:right="0"/>
              <w:jc w:val="center"/>
              <w:rPr>
                <w:szCs w:val="21"/>
              </w:rPr>
            </w:pPr>
            <w:r>
              <w:rPr>
                <w:szCs w:val="21"/>
              </w:rPr>
              <w:t>/</w:t>
            </w:r>
          </w:p>
        </w:tc>
        <w:tc>
          <w:tcPr>
            <w:tcW w:w="1607" w:type="pct"/>
            <w:vAlign w:val="center"/>
          </w:tcPr>
          <w:p w14:paraId="56A80051">
            <w:pPr>
              <w:keepNext w:val="0"/>
              <w:keepLines w:val="0"/>
              <w:suppressLineNumbers w:val="0"/>
              <w:adjustRightInd w:val="0"/>
              <w:snapToGrid w:val="0"/>
              <w:spacing w:before="0" w:beforeAutospacing="0" w:after="0" w:afterAutospacing="0"/>
              <w:ind w:left="0" w:right="0"/>
              <w:jc w:val="center"/>
              <w:rPr>
                <w:rFonts w:hAnsi="宋体"/>
                <w:szCs w:val="21"/>
              </w:rPr>
            </w:pPr>
            <w:r>
              <w:rPr>
                <w:szCs w:val="21"/>
              </w:rPr>
              <w:t>/</w:t>
            </w:r>
          </w:p>
        </w:tc>
        <w:tc>
          <w:tcPr>
            <w:tcW w:w="700" w:type="pct"/>
            <w:vAlign w:val="center"/>
          </w:tcPr>
          <w:p w14:paraId="07F97F24">
            <w:pPr>
              <w:keepNext w:val="0"/>
              <w:keepLines w:val="0"/>
              <w:suppressLineNumbers w:val="0"/>
              <w:adjustRightInd w:val="0"/>
              <w:snapToGrid w:val="0"/>
              <w:spacing w:before="0" w:beforeAutospacing="0" w:after="0" w:afterAutospacing="0"/>
              <w:ind w:left="0" w:right="0"/>
              <w:jc w:val="center"/>
              <w:rPr>
                <w:rFonts w:hAnsi="宋体"/>
                <w:szCs w:val="21"/>
              </w:rPr>
            </w:pPr>
            <w:r>
              <w:rPr>
                <w:szCs w:val="21"/>
              </w:rPr>
              <w:t>/</w:t>
            </w:r>
          </w:p>
        </w:tc>
      </w:tr>
    </w:tbl>
    <w:p w14:paraId="5615C33E">
      <w:pPr>
        <w:pStyle w:val="19"/>
        <w:pageBreakBefore/>
        <w:widowControl w:val="0"/>
        <w:jc w:val="center"/>
        <w:outlineLvl w:val="0"/>
        <w:rPr>
          <w:b/>
          <w:snapToGrid w:val="0"/>
          <w:sz w:val="30"/>
          <w:szCs w:val="30"/>
        </w:rPr>
      </w:pPr>
      <w:bookmarkStart w:id="10" w:name="_Toc85570429"/>
      <w:r>
        <w:rPr>
          <w:b/>
          <w:snapToGrid w:val="0"/>
          <w:sz w:val="30"/>
          <w:szCs w:val="30"/>
        </w:rPr>
        <w:t>七、结论</w:t>
      </w:r>
      <w:bookmarkEnd w:id="10"/>
    </w:p>
    <w:tbl>
      <w:tblPr>
        <w:tblStyle w:val="21"/>
        <w:tblW w:w="92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65"/>
      </w:tblGrid>
      <w:tr w14:paraId="327A5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5B61F96C">
            <w:pPr>
              <w:keepNext w:val="0"/>
              <w:keepLines w:val="0"/>
              <w:suppressLineNumbers w:val="0"/>
              <w:spacing w:before="0" w:beforeAutospacing="0" w:after="0" w:afterAutospacing="0" w:line="360" w:lineRule="auto"/>
              <w:ind w:left="0" w:right="0" w:firstLine="520" w:firstLineChars="200"/>
              <w:rPr>
                <w:rFonts w:ascii="宋体" w:hAnsi="宋体" w:cs="宋体"/>
                <w:bCs/>
                <w:spacing w:val="10"/>
                <w:sz w:val="24"/>
              </w:rPr>
            </w:pPr>
            <w:r>
              <w:rPr>
                <w:rFonts w:hint="eastAsia" w:ascii="宋体" w:hAnsi="宋体" w:cs="宋体"/>
                <w:bCs/>
                <w:spacing w:val="10"/>
                <w:sz w:val="24"/>
              </w:rPr>
              <w:t>综上所述，本项目建设符合国家有关产业政策，选址合理可行，在落实本报告表规定的各项生态保护及污染防治措施后，项目运营产生的环境影响很小，对评价区的环境质量影响甚微，在严格落实本环评提出的各项污染防治措施的前提下，从环保角度分析本项目建设是可行的。</w:t>
            </w:r>
          </w:p>
          <w:p w14:paraId="34617564">
            <w:pPr>
              <w:keepNext w:val="0"/>
              <w:keepLines w:val="0"/>
              <w:suppressLineNumbers w:val="0"/>
              <w:adjustRightInd w:val="0"/>
              <w:snapToGrid w:val="0"/>
              <w:spacing w:before="0" w:beforeAutospacing="0" w:after="0" w:afterAutospacing="0" w:line="360" w:lineRule="auto"/>
              <w:ind w:left="0" w:right="0" w:firstLine="460" w:firstLineChars="200"/>
              <w:rPr>
                <w:rFonts w:hAnsi="宋体"/>
                <w:bCs/>
                <w:spacing w:val="10"/>
                <w:szCs w:val="21"/>
              </w:rPr>
            </w:pPr>
          </w:p>
          <w:p w14:paraId="73ECA379">
            <w:pPr>
              <w:keepNext w:val="0"/>
              <w:keepLines w:val="0"/>
              <w:suppressLineNumbers w:val="0"/>
              <w:adjustRightInd w:val="0"/>
              <w:snapToGrid w:val="0"/>
              <w:spacing w:before="0" w:beforeAutospacing="0" w:after="0" w:afterAutospacing="0" w:line="360" w:lineRule="auto"/>
              <w:ind w:left="0" w:right="0" w:firstLine="460" w:firstLineChars="200"/>
              <w:rPr>
                <w:rFonts w:hAnsi="宋体"/>
                <w:bCs/>
                <w:spacing w:val="10"/>
                <w:szCs w:val="21"/>
              </w:rPr>
            </w:pPr>
          </w:p>
          <w:p w14:paraId="1CFD067C">
            <w:pPr>
              <w:keepNext w:val="0"/>
              <w:keepLines w:val="0"/>
              <w:suppressLineNumbers w:val="0"/>
              <w:adjustRightInd w:val="0"/>
              <w:snapToGrid w:val="0"/>
              <w:spacing w:before="0" w:beforeAutospacing="0" w:after="0" w:afterAutospacing="0" w:line="360" w:lineRule="auto"/>
              <w:ind w:left="0" w:right="0" w:firstLine="315"/>
              <w:rPr>
                <w:rFonts w:hAnsi="宋体"/>
                <w:bCs/>
                <w:spacing w:val="10"/>
                <w:szCs w:val="21"/>
                <w:highlight w:val="yellow"/>
              </w:rPr>
            </w:pPr>
          </w:p>
          <w:p w14:paraId="68512279">
            <w:pPr>
              <w:keepNext w:val="0"/>
              <w:keepLines w:val="0"/>
              <w:suppressLineNumbers w:val="0"/>
              <w:adjustRightInd w:val="0"/>
              <w:snapToGrid w:val="0"/>
              <w:spacing w:before="0" w:beforeAutospacing="0" w:after="0" w:afterAutospacing="0" w:line="360" w:lineRule="auto"/>
              <w:ind w:left="0" w:right="0" w:firstLine="315"/>
              <w:rPr>
                <w:rFonts w:hAnsi="宋体"/>
                <w:szCs w:val="21"/>
                <w:highlight w:val="yellow"/>
              </w:rPr>
            </w:pPr>
          </w:p>
          <w:p w14:paraId="5D49BFD8">
            <w:pPr>
              <w:keepNext w:val="0"/>
              <w:keepLines w:val="0"/>
              <w:suppressLineNumbers w:val="0"/>
              <w:spacing w:before="0" w:beforeAutospacing="0" w:after="0" w:afterAutospacing="0"/>
              <w:ind w:left="0" w:right="0"/>
              <w:rPr>
                <w:rFonts w:ascii="宋体"/>
                <w:sz w:val="24"/>
              </w:rPr>
            </w:pPr>
          </w:p>
          <w:p w14:paraId="04D8579A">
            <w:pPr>
              <w:keepNext w:val="0"/>
              <w:keepLines w:val="0"/>
              <w:suppressLineNumbers w:val="0"/>
              <w:spacing w:before="0" w:beforeAutospacing="0" w:after="0" w:afterAutospacing="0"/>
              <w:ind w:left="0" w:right="0"/>
            </w:pPr>
          </w:p>
          <w:p w14:paraId="481447AF">
            <w:pPr>
              <w:keepNext w:val="0"/>
              <w:keepLines w:val="0"/>
              <w:suppressLineNumbers w:val="0"/>
              <w:spacing w:before="0" w:beforeAutospacing="0" w:after="0" w:afterAutospacing="0"/>
              <w:ind w:left="0" w:right="0"/>
            </w:pPr>
          </w:p>
          <w:p w14:paraId="69B198B0">
            <w:pPr>
              <w:keepNext w:val="0"/>
              <w:keepLines w:val="0"/>
              <w:suppressLineNumbers w:val="0"/>
              <w:spacing w:before="0" w:beforeAutospacing="0" w:after="0" w:afterAutospacing="0"/>
              <w:ind w:left="0" w:right="0"/>
            </w:pPr>
          </w:p>
          <w:p w14:paraId="1079D496">
            <w:pPr>
              <w:keepNext w:val="0"/>
              <w:keepLines w:val="0"/>
              <w:suppressLineNumbers w:val="0"/>
              <w:tabs>
                <w:tab w:val="left" w:pos="1440"/>
              </w:tabs>
              <w:spacing w:before="0" w:beforeAutospacing="0" w:after="0" w:afterAutospacing="0"/>
              <w:ind w:left="0" w:right="0"/>
              <w:jc w:val="left"/>
            </w:pPr>
            <w:r>
              <w:rPr>
                <w:rFonts w:hint="eastAsia"/>
              </w:rPr>
              <w:tab/>
            </w:r>
          </w:p>
        </w:tc>
      </w:tr>
    </w:tbl>
    <w:p w14:paraId="115D8337">
      <w:pPr>
        <w:pStyle w:val="14"/>
      </w:pPr>
    </w:p>
    <w:p w14:paraId="0B1080C3">
      <w:pPr>
        <w:spacing w:line="360" w:lineRule="auto"/>
        <w:rPr>
          <w:rFonts w:hAnsi="宋体"/>
          <w:b/>
          <w:sz w:val="36"/>
          <w:szCs w:val="36"/>
        </w:rPr>
        <w:sectPr>
          <w:footerReference r:id="rId5" w:type="default"/>
          <w:pgSz w:w="11906" w:h="16838"/>
          <w:pgMar w:top="1440" w:right="1440" w:bottom="1440" w:left="1440" w:header="851" w:footer="992" w:gutter="0"/>
          <w:cols w:space="720" w:num="1"/>
          <w:docGrid w:type="lines" w:linePitch="312" w:charSpace="0"/>
        </w:sectPr>
      </w:pPr>
      <w:bookmarkStart w:id="11" w:name="_Toc1865"/>
      <w:bookmarkStart w:id="12" w:name="_Toc447818463"/>
      <w:bookmarkStart w:id="13" w:name="_Toc469664480"/>
      <w:bookmarkStart w:id="14" w:name="_Toc464694801"/>
      <w:bookmarkStart w:id="15" w:name="_Toc449923492"/>
      <w:bookmarkStart w:id="16" w:name="_Toc448229515"/>
      <w:bookmarkStart w:id="17" w:name="_Toc484742921"/>
      <w:bookmarkStart w:id="18" w:name="_Toc476193079"/>
    </w:p>
    <w:p w14:paraId="78B7175D">
      <w:pPr>
        <w:spacing w:line="360" w:lineRule="auto"/>
        <w:rPr>
          <w:rFonts w:hAnsi="宋体"/>
          <w:b/>
          <w:sz w:val="36"/>
          <w:szCs w:val="36"/>
        </w:rPr>
      </w:pPr>
      <w:r>
        <w:rPr>
          <w:rFonts w:hAnsi="宋体"/>
          <w:b/>
          <w:sz w:val="36"/>
          <w:szCs w:val="36"/>
        </w:rPr>
        <w:t>附录：电磁环境影响专题评价</w:t>
      </w:r>
      <w:bookmarkEnd w:id="11"/>
    </w:p>
    <w:p w14:paraId="132FF3ED">
      <w:pPr>
        <w:spacing w:line="360" w:lineRule="auto"/>
        <w:rPr>
          <w:rFonts w:hAnsi="宋体"/>
          <w:color w:val="FF0000"/>
        </w:rPr>
      </w:pPr>
    </w:p>
    <w:p w14:paraId="2EA80EBB">
      <w:pPr>
        <w:spacing w:line="360" w:lineRule="auto"/>
        <w:jc w:val="center"/>
        <w:rPr>
          <w:rFonts w:hAnsi="宋体"/>
          <w:b/>
          <w:color w:val="FF0000"/>
          <w:sz w:val="36"/>
          <w:szCs w:val="36"/>
        </w:rPr>
      </w:pPr>
    </w:p>
    <w:p w14:paraId="3ACBA8F2">
      <w:pPr>
        <w:spacing w:line="360" w:lineRule="auto"/>
        <w:jc w:val="center"/>
        <w:rPr>
          <w:rFonts w:hAnsi="宋体"/>
          <w:b/>
          <w:color w:val="FF0000"/>
          <w:sz w:val="36"/>
          <w:szCs w:val="36"/>
        </w:rPr>
      </w:pPr>
    </w:p>
    <w:p w14:paraId="6A7BB072">
      <w:pPr>
        <w:spacing w:line="360" w:lineRule="auto"/>
        <w:jc w:val="center"/>
        <w:rPr>
          <w:rFonts w:hAnsi="宋体"/>
          <w:b/>
          <w:color w:val="FF0000"/>
          <w:sz w:val="36"/>
          <w:szCs w:val="36"/>
        </w:rPr>
      </w:pPr>
    </w:p>
    <w:p w14:paraId="369C1361">
      <w:pPr>
        <w:spacing w:line="360" w:lineRule="auto"/>
        <w:jc w:val="center"/>
        <w:rPr>
          <w:rFonts w:hAnsi="宋体"/>
          <w:b/>
          <w:sz w:val="36"/>
          <w:szCs w:val="36"/>
        </w:rPr>
      </w:pPr>
    </w:p>
    <w:p w14:paraId="2435A7DE">
      <w:pPr>
        <w:spacing w:line="360" w:lineRule="auto"/>
        <w:jc w:val="center"/>
        <w:rPr>
          <w:rFonts w:ascii="宋体" w:hAnsi="宋体" w:cs="宋体"/>
          <w:b/>
          <w:sz w:val="44"/>
          <w:szCs w:val="44"/>
        </w:rPr>
      </w:pPr>
      <w:r>
        <w:rPr>
          <w:rFonts w:hint="eastAsia" w:ascii="宋体" w:hAnsi="宋体" w:cs="宋体"/>
          <w:b/>
          <w:sz w:val="44"/>
          <w:szCs w:val="44"/>
        </w:rPr>
        <w:t>京能吐鲁番市托克逊县产业园区低碳转型220千伏输变电工程</w:t>
      </w:r>
    </w:p>
    <w:p w14:paraId="2059235F">
      <w:pPr>
        <w:spacing w:line="360" w:lineRule="auto"/>
        <w:jc w:val="center"/>
        <w:rPr>
          <w:rFonts w:ascii="宋体" w:hAnsi="宋体" w:cs="宋体"/>
          <w:b/>
          <w:sz w:val="44"/>
          <w:szCs w:val="44"/>
        </w:rPr>
      </w:pPr>
      <w:r>
        <w:rPr>
          <w:rFonts w:hint="eastAsia" w:ascii="宋体" w:hAnsi="宋体" w:cs="宋体"/>
          <w:b/>
          <w:sz w:val="44"/>
          <w:szCs w:val="44"/>
        </w:rPr>
        <w:t>电磁环境影响专题评价</w:t>
      </w:r>
    </w:p>
    <w:p w14:paraId="7775526B">
      <w:pPr>
        <w:spacing w:line="360" w:lineRule="auto"/>
        <w:rPr>
          <w:rFonts w:hAnsi="宋体"/>
        </w:rPr>
      </w:pPr>
    </w:p>
    <w:p w14:paraId="79C9A6BD">
      <w:pPr>
        <w:spacing w:line="360" w:lineRule="auto"/>
        <w:rPr>
          <w:rFonts w:hAnsi="宋体"/>
        </w:rPr>
      </w:pPr>
    </w:p>
    <w:p w14:paraId="1C592705">
      <w:pPr>
        <w:spacing w:line="360" w:lineRule="auto"/>
        <w:rPr>
          <w:rFonts w:hAnsi="宋体"/>
        </w:rPr>
      </w:pPr>
    </w:p>
    <w:p w14:paraId="382A478B">
      <w:pPr>
        <w:spacing w:line="360" w:lineRule="auto"/>
        <w:rPr>
          <w:rFonts w:hAnsi="宋体"/>
        </w:rPr>
      </w:pPr>
    </w:p>
    <w:p w14:paraId="2D005FAD">
      <w:pPr>
        <w:pStyle w:val="7"/>
        <w:rPr>
          <w:rFonts w:hAnsi="宋体"/>
        </w:rPr>
      </w:pPr>
    </w:p>
    <w:p w14:paraId="78B2CDB3">
      <w:pPr>
        <w:pStyle w:val="8"/>
        <w:numPr>
          <w:ilvl w:val="0"/>
          <w:numId w:val="0"/>
        </w:numPr>
        <w:tabs>
          <w:tab w:val="left" w:pos="360"/>
          <w:tab w:val="left" w:pos="924"/>
        </w:tabs>
        <w:rPr>
          <w:rFonts w:hAnsi="宋体"/>
        </w:rPr>
      </w:pPr>
    </w:p>
    <w:p w14:paraId="4EE6BB27">
      <w:pPr>
        <w:pStyle w:val="8"/>
        <w:numPr>
          <w:ilvl w:val="0"/>
          <w:numId w:val="0"/>
        </w:numPr>
        <w:tabs>
          <w:tab w:val="left" w:pos="360"/>
          <w:tab w:val="left" w:pos="924"/>
        </w:tabs>
        <w:rPr>
          <w:rFonts w:hAnsi="宋体"/>
        </w:rPr>
      </w:pPr>
    </w:p>
    <w:p w14:paraId="6BD53F8D">
      <w:pPr>
        <w:pStyle w:val="8"/>
        <w:numPr>
          <w:ilvl w:val="0"/>
          <w:numId w:val="0"/>
        </w:numPr>
        <w:tabs>
          <w:tab w:val="left" w:pos="360"/>
          <w:tab w:val="left" w:pos="924"/>
        </w:tabs>
        <w:rPr>
          <w:rFonts w:hAnsi="宋体"/>
        </w:rPr>
      </w:pPr>
    </w:p>
    <w:p w14:paraId="072F7F38">
      <w:pPr>
        <w:pStyle w:val="8"/>
        <w:numPr>
          <w:ilvl w:val="0"/>
          <w:numId w:val="0"/>
        </w:numPr>
        <w:tabs>
          <w:tab w:val="left" w:pos="360"/>
          <w:tab w:val="left" w:pos="924"/>
        </w:tabs>
        <w:rPr>
          <w:rFonts w:hAnsi="宋体"/>
        </w:rPr>
      </w:pPr>
    </w:p>
    <w:p w14:paraId="0A69ECBD">
      <w:pPr>
        <w:pStyle w:val="8"/>
        <w:numPr>
          <w:ilvl w:val="0"/>
          <w:numId w:val="0"/>
        </w:numPr>
        <w:tabs>
          <w:tab w:val="left" w:pos="360"/>
          <w:tab w:val="left" w:pos="924"/>
        </w:tabs>
        <w:rPr>
          <w:rFonts w:hAnsi="宋体"/>
        </w:rPr>
      </w:pPr>
    </w:p>
    <w:p w14:paraId="1212CC90">
      <w:pPr>
        <w:spacing w:line="360" w:lineRule="auto"/>
        <w:rPr>
          <w:rFonts w:hAnsi="宋体"/>
        </w:rPr>
      </w:pPr>
    </w:p>
    <w:p w14:paraId="33974FCD">
      <w:pPr>
        <w:adjustRightInd w:val="0"/>
        <w:snapToGrid w:val="0"/>
        <w:spacing w:line="540" w:lineRule="auto"/>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建设单位：</w:t>
      </w:r>
      <w:r>
        <w:rPr>
          <w:rFonts w:hint="eastAsia" w:asciiTheme="minorEastAsia" w:hAnsiTheme="minorEastAsia" w:eastAsiaTheme="minorEastAsia" w:cstheme="minorEastAsia"/>
          <w:b/>
          <w:sz w:val="30"/>
          <w:szCs w:val="30"/>
          <w:u w:val="single"/>
        </w:rPr>
        <w:t xml:space="preserve">           </w:t>
      </w:r>
      <w:r>
        <w:rPr>
          <w:rFonts w:hint="eastAsia" w:asciiTheme="minorEastAsia" w:hAnsiTheme="minorEastAsia" w:eastAsiaTheme="minorEastAsia" w:cstheme="minorEastAsia"/>
          <w:b/>
          <w:spacing w:val="-20"/>
          <w:sz w:val="30"/>
          <w:szCs w:val="30"/>
          <w:u w:val="single"/>
        </w:rPr>
        <w:t xml:space="preserve">托克逊京能氢宇新能源有限公司                       </w:t>
      </w:r>
    </w:p>
    <w:p w14:paraId="19E3E9C8">
      <w:pPr>
        <w:adjustRightInd w:val="0"/>
        <w:snapToGrid w:val="0"/>
        <w:spacing w:line="540" w:lineRule="auto"/>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sz w:val="30"/>
          <w:szCs w:val="30"/>
        </w:rPr>
        <w:t>环评单位：</w:t>
      </w:r>
      <w:r>
        <w:rPr>
          <w:rFonts w:hint="eastAsia" w:asciiTheme="minorEastAsia" w:hAnsiTheme="minorEastAsia" w:eastAsiaTheme="minorEastAsia" w:cstheme="minorEastAsia"/>
          <w:b/>
          <w:sz w:val="30"/>
          <w:szCs w:val="30"/>
          <w:u w:val="single"/>
        </w:rPr>
        <w:t xml:space="preserve">        新疆格润特环保科技有限责任公司</w:t>
      </w:r>
      <w:r>
        <w:rPr>
          <w:rFonts w:hint="eastAsia" w:asciiTheme="minorEastAsia" w:hAnsiTheme="minorEastAsia" w:eastAsiaTheme="minorEastAsia" w:cstheme="minorEastAsia"/>
          <w:b/>
          <w:spacing w:val="-20"/>
          <w:sz w:val="30"/>
          <w:szCs w:val="30"/>
          <w:u w:val="single"/>
        </w:rPr>
        <w:t xml:space="preserve">                         </w:t>
      </w:r>
    </w:p>
    <w:p w14:paraId="6AF6D846">
      <w:pPr>
        <w:spacing w:line="360" w:lineRule="auto"/>
        <w:rPr>
          <w:rFonts w:asciiTheme="minorEastAsia" w:hAnsiTheme="minorEastAsia" w:eastAsiaTheme="minorEastAsia" w:cstheme="minorEastAsia"/>
          <w:bCs/>
        </w:rPr>
      </w:pPr>
      <w:r>
        <w:rPr>
          <w:rFonts w:hint="eastAsia" w:asciiTheme="minorEastAsia" w:hAnsiTheme="minorEastAsia" w:eastAsiaTheme="minorEastAsia" w:cstheme="minorEastAsia"/>
          <w:b/>
          <w:sz w:val="30"/>
          <w:szCs w:val="30"/>
        </w:rPr>
        <w:t>编制日期：</w:t>
      </w:r>
      <w:r>
        <w:rPr>
          <w:rFonts w:hint="eastAsia" w:asciiTheme="minorEastAsia" w:hAnsiTheme="minorEastAsia" w:eastAsiaTheme="minorEastAsia" w:cstheme="minorEastAsia"/>
          <w:b/>
          <w:sz w:val="30"/>
          <w:szCs w:val="30"/>
          <w:u w:val="single"/>
        </w:rPr>
        <w:t xml:space="preserve">                2025年</w:t>
      </w:r>
      <w:r>
        <w:rPr>
          <w:rFonts w:hint="eastAsia" w:asciiTheme="minorEastAsia" w:hAnsiTheme="minorEastAsia" w:eastAsiaTheme="minorEastAsia" w:cstheme="minorEastAsia"/>
          <w:b/>
          <w:sz w:val="30"/>
          <w:szCs w:val="30"/>
          <w:u w:val="single"/>
          <w:lang w:val="en-US" w:eastAsia="zh-CN"/>
        </w:rPr>
        <w:t>3</w:t>
      </w:r>
      <w:r>
        <w:rPr>
          <w:rFonts w:hint="eastAsia" w:asciiTheme="minorEastAsia" w:hAnsiTheme="minorEastAsia" w:eastAsiaTheme="minorEastAsia" w:cstheme="minorEastAsia"/>
          <w:b/>
          <w:sz w:val="30"/>
          <w:szCs w:val="30"/>
          <w:u w:val="single"/>
        </w:rPr>
        <w:t xml:space="preserve">月                 </w:t>
      </w:r>
      <w:r>
        <w:rPr>
          <w:rFonts w:hint="eastAsia" w:asciiTheme="minorEastAsia" w:hAnsiTheme="minorEastAsia" w:eastAsiaTheme="minorEastAsia" w:cstheme="minorEastAsia"/>
          <w:bCs/>
          <w:sz w:val="30"/>
          <w:szCs w:val="30"/>
          <w:u w:val="single"/>
        </w:rPr>
        <w:t xml:space="preserve">         </w:t>
      </w:r>
    </w:p>
    <w:p w14:paraId="548AA36A">
      <w:pPr>
        <w:spacing w:line="360" w:lineRule="auto"/>
        <w:rPr>
          <w:rFonts w:hAnsi="宋体"/>
          <w:color w:val="FF0000"/>
        </w:rPr>
      </w:pPr>
    </w:p>
    <w:p w14:paraId="48C4095A">
      <w:pPr>
        <w:spacing w:line="360" w:lineRule="auto"/>
        <w:rPr>
          <w:rFonts w:hAnsi="宋体"/>
        </w:rPr>
        <w:sectPr>
          <w:footerReference r:id="rId6" w:type="default"/>
          <w:pgSz w:w="11906" w:h="16838"/>
          <w:pgMar w:top="1440" w:right="1440" w:bottom="1440" w:left="1440" w:header="851" w:footer="992" w:gutter="0"/>
          <w:cols w:space="720" w:num="1"/>
          <w:docGrid w:type="lines" w:linePitch="312" w:charSpace="0"/>
        </w:sectPr>
      </w:pPr>
    </w:p>
    <w:p w14:paraId="0730D528">
      <w:pPr>
        <w:spacing w:line="360" w:lineRule="auto"/>
        <w:jc w:val="center"/>
        <w:rPr>
          <w:rFonts w:ascii="宋体" w:hAnsi="宋体" w:cs="宋体"/>
          <w:sz w:val="24"/>
        </w:rPr>
      </w:pPr>
      <w:r>
        <w:rPr>
          <w:rFonts w:hint="eastAsia" w:ascii="宋体" w:hAnsi="宋体" w:cs="宋体"/>
          <w:b/>
          <w:sz w:val="24"/>
        </w:rPr>
        <w:t>目    录</w:t>
      </w:r>
    </w:p>
    <w:p w14:paraId="41ABC353">
      <w:pPr>
        <w:pStyle w:val="15"/>
        <w:tabs>
          <w:tab w:val="right" w:leader="dot" w:pos="9026"/>
        </w:tabs>
        <w:spacing w:line="360" w:lineRule="auto"/>
        <w:ind w:firstLine="48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TOC \o "1-1" \u </w:instrText>
      </w:r>
      <w:r>
        <w:rPr>
          <w:rFonts w:hint="eastAsia" w:ascii="宋体" w:hAnsi="宋体" w:cs="宋体"/>
          <w:sz w:val="24"/>
        </w:rPr>
        <w:fldChar w:fldCharType="separate"/>
      </w:r>
    </w:p>
    <w:p w14:paraId="57E25E6F">
      <w:pPr>
        <w:pStyle w:val="15"/>
        <w:tabs>
          <w:tab w:val="right" w:leader="dot" w:pos="9026"/>
        </w:tabs>
        <w:spacing w:line="360" w:lineRule="auto"/>
        <w:ind w:firstLine="480"/>
        <w:rPr>
          <w:rFonts w:ascii="宋体" w:hAnsi="宋体" w:cs="宋体"/>
          <w:sz w:val="24"/>
        </w:rPr>
      </w:pPr>
      <w:r>
        <w:rPr>
          <w:rFonts w:hint="eastAsia" w:ascii="宋体" w:hAnsi="宋体" w:cs="宋体"/>
          <w:sz w:val="24"/>
        </w:rPr>
        <w:t>1  总则</w:t>
      </w:r>
      <w:r>
        <w:rPr>
          <w:rFonts w:hint="eastAsia" w:ascii="宋体" w:hAnsi="宋体" w:cs="宋体"/>
          <w:sz w:val="24"/>
        </w:rPr>
        <w:tab/>
      </w:r>
      <w:r>
        <w:rPr>
          <w:rFonts w:hint="eastAsia" w:ascii="宋体" w:hAnsi="宋体" w:cs="宋体"/>
          <w:sz w:val="24"/>
        </w:rPr>
        <w:t>1</w:t>
      </w:r>
    </w:p>
    <w:p w14:paraId="28748D9D">
      <w:pPr>
        <w:pStyle w:val="15"/>
        <w:tabs>
          <w:tab w:val="right" w:leader="dot" w:pos="9026"/>
        </w:tabs>
        <w:spacing w:line="360" w:lineRule="auto"/>
        <w:ind w:firstLine="480"/>
        <w:rPr>
          <w:rFonts w:ascii="宋体" w:hAnsi="宋体" w:cs="宋体"/>
          <w:sz w:val="24"/>
        </w:rPr>
      </w:pPr>
      <w:r>
        <w:rPr>
          <w:rFonts w:hint="eastAsia" w:ascii="宋体" w:hAnsi="宋体" w:cs="宋体"/>
          <w:sz w:val="24"/>
        </w:rPr>
        <w:t>2  电磁环境现状监测与评价</w:t>
      </w:r>
      <w:r>
        <w:rPr>
          <w:rFonts w:hint="eastAsia" w:ascii="宋体" w:hAnsi="宋体" w:cs="宋体"/>
          <w:sz w:val="24"/>
        </w:rPr>
        <w:tab/>
      </w:r>
      <w:r>
        <w:rPr>
          <w:rFonts w:hint="eastAsia" w:ascii="宋体" w:hAnsi="宋体" w:cs="宋体"/>
          <w:sz w:val="24"/>
        </w:rPr>
        <w:t>4</w:t>
      </w:r>
    </w:p>
    <w:p w14:paraId="5FBD124E">
      <w:pPr>
        <w:pStyle w:val="15"/>
        <w:tabs>
          <w:tab w:val="right" w:leader="dot" w:pos="9026"/>
        </w:tabs>
        <w:spacing w:line="360" w:lineRule="auto"/>
        <w:ind w:firstLine="480"/>
        <w:rPr>
          <w:rFonts w:ascii="宋体" w:hAnsi="宋体" w:cs="宋体"/>
          <w:sz w:val="24"/>
        </w:rPr>
      </w:pPr>
      <w:r>
        <w:rPr>
          <w:rFonts w:hint="eastAsia" w:ascii="宋体" w:hAnsi="宋体" w:cs="宋体"/>
          <w:sz w:val="24"/>
        </w:rPr>
        <w:t>3  电磁环境影响预测分析</w:t>
      </w:r>
      <w:r>
        <w:rPr>
          <w:rFonts w:hint="eastAsia" w:ascii="宋体" w:hAnsi="宋体" w:cs="宋体"/>
          <w:sz w:val="24"/>
        </w:rPr>
        <w:tab/>
      </w:r>
      <w:r>
        <w:rPr>
          <w:rFonts w:hint="eastAsia" w:ascii="宋体" w:hAnsi="宋体" w:cs="宋体"/>
          <w:sz w:val="24"/>
        </w:rPr>
        <w:t>5</w:t>
      </w:r>
    </w:p>
    <w:p w14:paraId="43C3ADD2">
      <w:pPr>
        <w:pStyle w:val="15"/>
        <w:tabs>
          <w:tab w:val="right" w:leader="dot" w:pos="9026"/>
        </w:tabs>
        <w:spacing w:line="360" w:lineRule="auto"/>
        <w:ind w:firstLine="480"/>
        <w:rPr>
          <w:rFonts w:hint="eastAsia" w:ascii="宋体" w:hAnsi="宋体" w:eastAsia="宋体" w:cs="宋体"/>
          <w:sz w:val="24"/>
          <w:lang w:eastAsia="zh-CN"/>
        </w:rPr>
      </w:pPr>
      <w:r>
        <w:rPr>
          <w:rFonts w:hint="eastAsia" w:ascii="宋体" w:hAnsi="宋体" w:cs="宋体"/>
          <w:sz w:val="24"/>
        </w:rPr>
        <w:t>4  电磁环境保护措施</w:t>
      </w:r>
      <w:r>
        <w:rPr>
          <w:rFonts w:hint="eastAsia" w:ascii="宋体" w:hAnsi="宋体" w:cs="宋体"/>
          <w:sz w:val="24"/>
        </w:rPr>
        <w:tab/>
      </w:r>
      <w:r>
        <w:rPr>
          <w:rFonts w:hint="eastAsia" w:ascii="宋体" w:hAnsi="宋体" w:cs="宋体"/>
          <w:sz w:val="24"/>
        </w:rPr>
        <w:t>2</w:t>
      </w:r>
      <w:r>
        <w:rPr>
          <w:rFonts w:hint="eastAsia" w:ascii="宋体" w:hAnsi="宋体" w:cs="宋体"/>
          <w:sz w:val="24"/>
          <w:lang w:val="en-US" w:eastAsia="zh-CN"/>
        </w:rPr>
        <w:t>2</w:t>
      </w:r>
    </w:p>
    <w:p w14:paraId="1318D8EB">
      <w:pPr>
        <w:pStyle w:val="15"/>
        <w:tabs>
          <w:tab w:val="right" w:leader="dot" w:pos="9026"/>
        </w:tabs>
        <w:spacing w:line="360" w:lineRule="auto"/>
        <w:ind w:firstLine="480"/>
        <w:rPr>
          <w:rFonts w:hint="eastAsia" w:ascii="宋体" w:hAnsi="宋体" w:eastAsia="宋体" w:cs="宋体"/>
          <w:sz w:val="24"/>
          <w:lang w:eastAsia="zh-CN"/>
        </w:rPr>
      </w:pPr>
      <w:r>
        <w:rPr>
          <w:rFonts w:hint="eastAsia" w:ascii="宋体" w:hAnsi="宋体" w:cs="宋体"/>
          <w:sz w:val="24"/>
        </w:rPr>
        <w:t>5  电磁环境影响评价结论</w:t>
      </w:r>
      <w:r>
        <w:rPr>
          <w:rFonts w:hint="eastAsia" w:ascii="宋体" w:hAnsi="宋体" w:cs="宋体"/>
          <w:sz w:val="24"/>
        </w:rPr>
        <w:tab/>
      </w:r>
      <w:r>
        <w:rPr>
          <w:rFonts w:hint="eastAsia" w:ascii="宋体" w:hAnsi="宋体" w:cs="宋体"/>
          <w:sz w:val="24"/>
        </w:rPr>
        <w:t>2</w:t>
      </w:r>
      <w:r>
        <w:rPr>
          <w:rFonts w:hint="eastAsia" w:ascii="宋体" w:hAnsi="宋体" w:cs="宋体"/>
          <w:sz w:val="24"/>
          <w:lang w:val="en-US" w:eastAsia="zh-CN"/>
        </w:rPr>
        <w:t>2</w:t>
      </w:r>
    </w:p>
    <w:p w14:paraId="0CBB3066">
      <w:pPr>
        <w:pStyle w:val="15"/>
        <w:tabs>
          <w:tab w:val="right" w:leader="dot" w:pos="9026"/>
        </w:tabs>
        <w:spacing w:line="360" w:lineRule="auto"/>
        <w:ind w:firstLine="480"/>
        <w:rPr>
          <w:rFonts w:ascii="宋体" w:hAnsi="宋体" w:cs="宋体"/>
          <w:sz w:val="24"/>
        </w:rPr>
      </w:pPr>
    </w:p>
    <w:p w14:paraId="4E3FE4A7">
      <w:pPr>
        <w:pStyle w:val="2"/>
        <w:ind w:left="0" w:firstLine="0"/>
        <w:rPr>
          <w:rFonts w:eastAsia="宋体"/>
          <w:color w:val="auto"/>
          <w:sz w:val="24"/>
          <w:szCs w:val="24"/>
        </w:rPr>
        <w:sectPr>
          <w:footerReference r:id="rId7"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color w:val="auto"/>
          <w:sz w:val="24"/>
          <w:szCs w:val="24"/>
        </w:rPr>
        <w:fldChar w:fldCharType="end"/>
      </w:r>
    </w:p>
    <w:p w14:paraId="1ADB6083">
      <w:pPr>
        <w:pStyle w:val="2"/>
        <w:ind w:left="0" w:firstLine="0"/>
        <w:rPr>
          <w:rFonts w:eastAsia="宋体"/>
          <w:color w:val="auto"/>
          <w:sz w:val="24"/>
          <w:szCs w:val="24"/>
        </w:rPr>
      </w:pPr>
      <w:r>
        <w:rPr>
          <w:rFonts w:eastAsia="宋体"/>
          <w:color w:val="auto"/>
          <w:sz w:val="24"/>
          <w:szCs w:val="24"/>
        </w:rPr>
        <w:t>1</w:t>
      </w:r>
      <w:r>
        <w:rPr>
          <w:rFonts w:hint="eastAsia" w:eastAsia="宋体"/>
          <w:color w:val="auto"/>
          <w:sz w:val="24"/>
          <w:szCs w:val="24"/>
        </w:rPr>
        <w:t>、</w:t>
      </w:r>
      <w:r>
        <w:rPr>
          <w:rFonts w:eastAsia="宋体"/>
          <w:color w:val="auto"/>
          <w:sz w:val="24"/>
          <w:szCs w:val="24"/>
        </w:rPr>
        <w:t>总则</w:t>
      </w:r>
    </w:p>
    <w:p w14:paraId="324CD9D6">
      <w:pPr>
        <w:pStyle w:val="3"/>
        <w:rPr>
          <w:rFonts w:ascii="Times New Roman" w:hAnsi="Times New Roman" w:eastAsia="宋体"/>
          <w:sz w:val="24"/>
          <w:szCs w:val="24"/>
        </w:rPr>
      </w:pPr>
      <w:r>
        <w:rPr>
          <w:rFonts w:ascii="Times New Roman" w:hAnsi="Times New Roman" w:eastAsia="宋体"/>
          <w:sz w:val="24"/>
          <w:szCs w:val="24"/>
        </w:rPr>
        <w:t>1.1 项目规模</w:t>
      </w:r>
    </w:p>
    <w:p w14:paraId="3098A22A">
      <w:pPr>
        <w:pStyle w:val="3"/>
        <w:ind w:firstLine="480" w:firstLineChars="200"/>
        <w:jc w:val="both"/>
        <w:rPr>
          <w:rFonts w:ascii="Times New Roman" w:hAnsi="Times New Roman" w:eastAsia="宋体"/>
          <w:b w:val="0"/>
          <w:bCs w:val="0"/>
          <w:sz w:val="24"/>
          <w:szCs w:val="24"/>
        </w:rPr>
      </w:pPr>
      <w:r>
        <w:rPr>
          <w:rFonts w:ascii="Times New Roman" w:hAnsi="Times New Roman" w:eastAsia="宋体"/>
          <w:b w:val="0"/>
          <w:bCs w:val="0"/>
          <w:sz w:val="24"/>
          <w:szCs w:val="24"/>
        </w:rPr>
        <w:t>本项目新建1座220</w:t>
      </w:r>
      <w:r>
        <w:rPr>
          <w:rFonts w:hint="eastAsia" w:ascii="Times New Roman" w:hAnsi="Times New Roman" w:eastAsia="宋体"/>
          <w:b w:val="0"/>
          <w:bCs w:val="0"/>
          <w:sz w:val="24"/>
          <w:szCs w:val="24"/>
        </w:rPr>
        <w:t>kV</w:t>
      </w:r>
      <w:r>
        <w:rPr>
          <w:rFonts w:ascii="Times New Roman" w:hAnsi="Times New Roman" w:eastAsia="宋体"/>
          <w:b w:val="0"/>
          <w:bCs w:val="0"/>
          <w:sz w:val="24"/>
          <w:szCs w:val="24"/>
        </w:rPr>
        <w:t>升压站（升压站规划2</w:t>
      </w:r>
      <w:r>
        <w:rPr>
          <w:rFonts w:hint="eastAsia" w:ascii="Times New Roman" w:hAnsi="Times New Roman" w:eastAsia="宋体"/>
          <w:b w:val="0"/>
          <w:bCs w:val="0"/>
          <w:sz w:val="24"/>
          <w:szCs w:val="24"/>
          <w:lang w:eastAsia="zh-CN"/>
        </w:rPr>
        <w:t>台</w:t>
      </w:r>
      <w:r>
        <w:rPr>
          <w:rFonts w:ascii="Times New Roman" w:hAnsi="Times New Roman" w:eastAsia="宋体"/>
          <w:b w:val="0"/>
          <w:bCs w:val="0"/>
          <w:sz w:val="24"/>
          <w:szCs w:val="24"/>
        </w:rPr>
        <w:t>主变，本期建成1台主变，选择三相三卷有载调压变压器</w:t>
      </w:r>
      <w:r>
        <w:rPr>
          <w:rFonts w:hint="eastAsia" w:ascii="Times New Roman" w:hAnsi="Times New Roman" w:eastAsia="宋体"/>
          <w:b w:val="0"/>
          <w:bCs w:val="0"/>
          <w:sz w:val="24"/>
          <w:szCs w:val="24"/>
          <w:lang w:eastAsia="zh-CN"/>
        </w:rPr>
        <w:t>。</w:t>
      </w:r>
      <w:r>
        <w:rPr>
          <w:rFonts w:ascii="Times New Roman" w:hAnsi="Times New Roman" w:eastAsia="宋体"/>
          <w:b w:val="0"/>
          <w:bCs w:val="0"/>
          <w:sz w:val="24"/>
          <w:szCs w:val="24"/>
        </w:rPr>
        <w:t>），汇集光伏及储能后通过1回220</w:t>
      </w:r>
      <w:r>
        <w:rPr>
          <w:rFonts w:hint="eastAsia" w:ascii="Times New Roman" w:hAnsi="Times New Roman" w:eastAsia="宋体"/>
          <w:b w:val="0"/>
          <w:bCs w:val="0"/>
          <w:sz w:val="24"/>
          <w:szCs w:val="24"/>
        </w:rPr>
        <w:t>kV</w:t>
      </w:r>
      <w:r>
        <w:rPr>
          <w:rFonts w:ascii="Times New Roman" w:hAnsi="Times New Roman" w:eastAsia="宋体"/>
          <w:b w:val="0"/>
          <w:bCs w:val="0"/>
          <w:sz w:val="24"/>
          <w:szCs w:val="24"/>
        </w:rPr>
        <w:t>线路接入库米什220</w:t>
      </w:r>
      <w:r>
        <w:rPr>
          <w:rFonts w:hint="eastAsia" w:ascii="Times New Roman" w:hAnsi="Times New Roman" w:eastAsia="宋体"/>
          <w:b w:val="0"/>
          <w:bCs w:val="0"/>
          <w:sz w:val="24"/>
          <w:szCs w:val="24"/>
        </w:rPr>
        <w:t>kV</w:t>
      </w:r>
      <w:r>
        <w:rPr>
          <w:rFonts w:ascii="Times New Roman" w:hAnsi="Times New Roman" w:eastAsia="宋体"/>
          <w:b w:val="0"/>
          <w:bCs w:val="0"/>
          <w:sz w:val="24"/>
          <w:szCs w:val="24"/>
        </w:rPr>
        <w:t>变</w:t>
      </w:r>
      <w:r>
        <w:rPr>
          <w:rFonts w:hint="eastAsia" w:ascii="Times New Roman" w:hAnsi="Times New Roman" w:eastAsia="宋体"/>
          <w:b w:val="0"/>
          <w:bCs w:val="0"/>
          <w:sz w:val="24"/>
          <w:szCs w:val="24"/>
        </w:rPr>
        <w:t>电站</w:t>
      </w:r>
      <w:r>
        <w:rPr>
          <w:rFonts w:ascii="Times New Roman" w:hAnsi="Times New Roman" w:eastAsia="宋体"/>
          <w:b w:val="0"/>
          <w:bCs w:val="0"/>
          <w:sz w:val="24"/>
          <w:szCs w:val="24"/>
        </w:rPr>
        <w:t>实现并网，库米什220</w:t>
      </w:r>
      <w:r>
        <w:rPr>
          <w:rFonts w:hint="eastAsia" w:ascii="Times New Roman" w:hAnsi="Times New Roman" w:eastAsia="宋体"/>
          <w:b w:val="0"/>
          <w:bCs w:val="0"/>
          <w:sz w:val="24"/>
          <w:szCs w:val="24"/>
        </w:rPr>
        <w:t>kV</w:t>
      </w:r>
      <w:r>
        <w:rPr>
          <w:rFonts w:ascii="Times New Roman" w:hAnsi="Times New Roman" w:eastAsia="宋体"/>
          <w:b w:val="0"/>
          <w:bCs w:val="0"/>
          <w:sz w:val="24"/>
          <w:szCs w:val="24"/>
        </w:rPr>
        <w:t>变</w:t>
      </w:r>
      <w:r>
        <w:rPr>
          <w:rFonts w:hint="eastAsia" w:ascii="Times New Roman" w:hAnsi="Times New Roman" w:eastAsia="宋体"/>
          <w:b w:val="0"/>
          <w:bCs w:val="0"/>
          <w:sz w:val="24"/>
          <w:szCs w:val="24"/>
        </w:rPr>
        <w:t>电站</w:t>
      </w:r>
      <w:r>
        <w:rPr>
          <w:rFonts w:ascii="Times New Roman" w:hAnsi="Times New Roman" w:eastAsia="宋体"/>
          <w:b w:val="0"/>
          <w:bCs w:val="0"/>
          <w:sz w:val="24"/>
          <w:szCs w:val="24"/>
        </w:rPr>
        <w:t>需扩建1回220</w:t>
      </w:r>
      <w:r>
        <w:rPr>
          <w:rFonts w:hint="eastAsia" w:ascii="Times New Roman" w:hAnsi="Times New Roman" w:eastAsia="宋体"/>
          <w:b w:val="0"/>
          <w:bCs w:val="0"/>
          <w:sz w:val="24"/>
          <w:szCs w:val="24"/>
        </w:rPr>
        <w:t>kV</w:t>
      </w:r>
      <w:r>
        <w:rPr>
          <w:rFonts w:ascii="Times New Roman" w:hAnsi="Times New Roman" w:eastAsia="宋体"/>
          <w:b w:val="0"/>
          <w:bCs w:val="0"/>
          <w:sz w:val="24"/>
          <w:szCs w:val="24"/>
        </w:rPr>
        <w:t>出线间隔，送出线路长</w:t>
      </w:r>
      <w:r>
        <w:rPr>
          <w:rFonts w:ascii="Times New Roman" w:hAnsi="Times New Roman" w:eastAsia="宋体"/>
          <w:b w:val="0"/>
          <w:bCs w:val="0"/>
          <w:color w:val="000000" w:themeColor="text1"/>
          <w:sz w:val="24"/>
          <w:szCs w:val="24"/>
        </w:rPr>
        <w:t>约7.</w:t>
      </w:r>
      <w:r>
        <w:rPr>
          <w:rFonts w:hint="eastAsia" w:ascii="Times New Roman" w:hAnsi="Times New Roman" w:eastAsia="宋体"/>
          <w:b w:val="0"/>
          <w:bCs w:val="0"/>
          <w:color w:val="000000" w:themeColor="text1"/>
          <w:sz w:val="24"/>
          <w:szCs w:val="24"/>
        </w:rPr>
        <w:t>84</w:t>
      </w:r>
      <w:r>
        <w:rPr>
          <w:rFonts w:ascii="Times New Roman" w:hAnsi="Times New Roman" w:eastAsia="宋体"/>
          <w:b w:val="0"/>
          <w:bCs w:val="0"/>
          <w:color w:val="000000" w:themeColor="text1"/>
          <w:sz w:val="24"/>
          <w:szCs w:val="24"/>
        </w:rPr>
        <w:t>km。</w:t>
      </w:r>
    </w:p>
    <w:p w14:paraId="4D7F5C02">
      <w:pPr>
        <w:pStyle w:val="3"/>
        <w:rPr>
          <w:rFonts w:ascii="Times New Roman" w:hAnsi="Times New Roman" w:eastAsia="宋体"/>
          <w:sz w:val="24"/>
          <w:szCs w:val="24"/>
        </w:rPr>
      </w:pPr>
      <w:r>
        <w:rPr>
          <w:rFonts w:ascii="Times New Roman" w:hAnsi="Times New Roman" w:eastAsia="宋体"/>
          <w:sz w:val="24"/>
          <w:szCs w:val="24"/>
        </w:rPr>
        <w:t>1.2 评价目的</w:t>
      </w:r>
    </w:p>
    <w:p w14:paraId="53E48889">
      <w:pPr>
        <w:snapToGrid w:val="0"/>
        <w:spacing w:line="360" w:lineRule="auto"/>
        <w:ind w:firstLine="480" w:firstLineChars="200"/>
        <w:rPr>
          <w:sz w:val="24"/>
        </w:rPr>
      </w:pPr>
      <w:r>
        <w:rPr>
          <w:sz w:val="24"/>
        </w:rPr>
        <w:t>根据《中华人民共和国环境影响评价法》、《建设项目环境保护管理条例》及《建设项目环境影响评价分类管理名录》的有关要求，为切实做好项目的环境保护工作，使输变电事业与环境保护协调发展，控制电磁环境污染、</w:t>
      </w:r>
      <w:r>
        <w:rPr>
          <w:rFonts w:hint="eastAsia"/>
          <w:sz w:val="24"/>
        </w:rPr>
        <w:t>避害就利</w:t>
      </w:r>
      <w:r>
        <w:rPr>
          <w:sz w:val="24"/>
        </w:rPr>
        <w:t>、保障公众健康，托克逊京能氢宇新能源有限公司委托我单位承担本项目的电磁环境影响评价工作，分析说明本项目建设运行后电磁环境影响的情况。</w:t>
      </w:r>
    </w:p>
    <w:p w14:paraId="273799BA">
      <w:pPr>
        <w:pStyle w:val="3"/>
        <w:rPr>
          <w:rFonts w:ascii="Times New Roman" w:hAnsi="Times New Roman" w:eastAsia="宋体"/>
          <w:sz w:val="24"/>
          <w:szCs w:val="24"/>
        </w:rPr>
      </w:pPr>
      <w:r>
        <w:rPr>
          <w:rFonts w:ascii="Times New Roman" w:hAnsi="Times New Roman" w:eastAsia="宋体"/>
          <w:sz w:val="24"/>
          <w:szCs w:val="24"/>
        </w:rPr>
        <w:t>1.3 评价依据</w:t>
      </w:r>
    </w:p>
    <w:p w14:paraId="27010182">
      <w:pPr>
        <w:spacing w:line="360" w:lineRule="auto"/>
        <w:outlineLvl w:val="2"/>
        <w:rPr>
          <w:b/>
          <w:kern w:val="15"/>
          <w:sz w:val="24"/>
        </w:rPr>
      </w:pPr>
      <w:r>
        <w:rPr>
          <w:b/>
          <w:kern w:val="15"/>
          <w:sz w:val="24"/>
        </w:rPr>
        <w:t>1.3.1 国家法律、法规及相关规范</w:t>
      </w:r>
    </w:p>
    <w:p w14:paraId="2673667E">
      <w:pPr>
        <w:snapToGrid w:val="0"/>
        <w:spacing w:line="360" w:lineRule="auto"/>
        <w:ind w:firstLine="480" w:firstLineChars="200"/>
        <w:rPr>
          <w:sz w:val="24"/>
        </w:rPr>
      </w:pPr>
      <w:r>
        <w:rPr>
          <w:sz w:val="24"/>
        </w:rPr>
        <w:t>（1）《中华人民共和国环境保护法》(2014年4月24日修订，2015年1月1日起施行)；</w:t>
      </w:r>
    </w:p>
    <w:p w14:paraId="432E92F9">
      <w:pPr>
        <w:snapToGrid w:val="0"/>
        <w:spacing w:line="360" w:lineRule="auto"/>
        <w:ind w:firstLine="480" w:firstLineChars="200"/>
        <w:rPr>
          <w:sz w:val="24"/>
        </w:rPr>
      </w:pPr>
      <w:r>
        <w:rPr>
          <w:sz w:val="24"/>
        </w:rPr>
        <w:t>（2）《中华人民共和国环境影响评价法》(2018年12月29日修订并实施)；</w:t>
      </w:r>
    </w:p>
    <w:p w14:paraId="4F8D941A">
      <w:pPr>
        <w:snapToGrid w:val="0"/>
        <w:spacing w:line="360" w:lineRule="auto"/>
        <w:ind w:firstLine="480" w:firstLineChars="200"/>
        <w:rPr>
          <w:sz w:val="24"/>
        </w:rPr>
      </w:pPr>
      <w:r>
        <w:rPr>
          <w:sz w:val="24"/>
        </w:rPr>
        <w:t>（3）《建设项目环境影响评价分类管理名录(2021年版)》(生态环境部令</w:t>
      </w:r>
      <w:r>
        <w:rPr>
          <w:rFonts w:hint="eastAsia"/>
          <w:sz w:val="24"/>
        </w:rPr>
        <w:t>〔2020〕16号</w:t>
      </w:r>
      <w:r>
        <w:rPr>
          <w:sz w:val="24"/>
        </w:rPr>
        <w:t>，2021年1月1日)；</w:t>
      </w:r>
    </w:p>
    <w:p w14:paraId="09427095">
      <w:pPr>
        <w:snapToGrid w:val="0"/>
        <w:spacing w:line="360" w:lineRule="auto"/>
        <w:ind w:firstLine="480" w:firstLineChars="200"/>
        <w:rPr>
          <w:sz w:val="24"/>
        </w:rPr>
      </w:pPr>
      <w:r>
        <w:rPr>
          <w:sz w:val="24"/>
        </w:rPr>
        <w:t>（4）《建设项目环境影响报告表编制技术指南（生态影响类）（试行）》（环办环评〔2020〕33号，生态环境部办公厅2020年12月24日印发)；</w:t>
      </w:r>
    </w:p>
    <w:p w14:paraId="00FE2CBE">
      <w:pPr>
        <w:snapToGrid w:val="0"/>
        <w:spacing w:line="360" w:lineRule="auto"/>
        <w:ind w:firstLine="480" w:firstLineChars="200"/>
        <w:rPr>
          <w:sz w:val="24"/>
        </w:rPr>
      </w:pPr>
      <w:r>
        <w:rPr>
          <w:sz w:val="24"/>
        </w:rPr>
        <w:t>（5）《关于进一步加强输变电类建设项目环境保护监管工作的通知》(环办</w:t>
      </w:r>
      <w:r>
        <w:rPr>
          <w:rFonts w:hint="eastAsia"/>
          <w:sz w:val="24"/>
        </w:rPr>
        <w:t>〔2012〕131号</w:t>
      </w:r>
      <w:r>
        <w:rPr>
          <w:sz w:val="24"/>
        </w:rPr>
        <w:t>，2012年10月26日起施行)。</w:t>
      </w:r>
    </w:p>
    <w:p w14:paraId="2AC6454F">
      <w:pPr>
        <w:spacing w:line="360" w:lineRule="auto"/>
        <w:outlineLvl w:val="2"/>
        <w:rPr>
          <w:b/>
          <w:kern w:val="15"/>
          <w:sz w:val="24"/>
        </w:rPr>
      </w:pPr>
      <w:r>
        <w:rPr>
          <w:b/>
          <w:kern w:val="15"/>
          <w:sz w:val="24"/>
        </w:rPr>
        <w:t>1.3.2 相关技术规范、导则</w:t>
      </w:r>
    </w:p>
    <w:p w14:paraId="60D2DDBC">
      <w:pPr>
        <w:adjustRightInd w:val="0"/>
        <w:snapToGrid w:val="0"/>
        <w:spacing w:line="360" w:lineRule="auto"/>
        <w:ind w:firstLine="480" w:firstLineChars="200"/>
        <w:rPr>
          <w:sz w:val="24"/>
        </w:rPr>
      </w:pPr>
      <w:r>
        <w:rPr>
          <w:sz w:val="24"/>
        </w:rPr>
        <w:t>（1）《建设项目环境影响评价技术导则 总纲》(HJ2.1-2016)；</w:t>
      </w:r>
    </w:p>
    <w:p w14:paraId="447387C3">
      <w:pPr>
        <w:adjustRightInd w:val="0"/>
        <w:snapToGrid w:val="0"/>
        <w:spacing w:line="360" w:lineRule="auto"/>
        <w:ind w:firstLine="480" w:firstLineChars="200"/>
        <w:rPr>
          <w:sz w:val="24"/>
        </w:rPr>
      </w:pPr>
      <w:r>
        <w:rPr>
          <w:sz w:val="24"/>
        </w:rPr>
        <w:t>（2）《环境影响评价技术导则 输变电》(HJ24-2020)；</w:t>
      </w:r>
    </w:p>
    <w:p w14:paraId="6512BAEB">
      <w:pPr>
        <w:adjustRightInd w:val="0"/>
        <w:snapToGrid w:val="0"/>
        <w:spacing w:line="360" w:lineRule="auto"/>
        <w:ind w:firstLine="480" w:firstLineChars="200"/>
        <w:rPr>
          <w:sz w:val="24"/>
        </w:rPr>
      </w:pPr>
      <w:r>
        <w:rPr>
          <w:sz w:val="24"/>
        </w:rPr>
        <w:t>（3）《电磁环境控制限值》(GB8702-2014)；</w:t>
      </w:r>
    </w:p>
    <w:p w14:paraId="5E239C23">
      <w:pPr>
        <w:adjustRightInd w:val="0"/>
        <w:snapToGrid w:val="0"/>
        <w:spacing w:line="360" w:lineRule="auto"/>
        <w:ind w:firstLine="480" w:firstLineChars="200"/>
        <w:rPr>
          <w:sz w:val="24"/>
        </w:rPr>
      </w:pPr>
      <w:r>
        <w:rPr>
          <w:sz w:val="24"/>
        </w:rPr>
        <w:t>（4）《交流输变电工程电磁环境监测方法(试行)》(HJ681-2013)；</w:t>
      </w:r>
    </w:p>
    <w:p w14:paraId="3BB3F8CC">
      <w:pPr>
        <w:adjustRightInd w:val="0"/>
        <w:snapToGrid w:val="0"/>
        <w:spacing w:line="360" w:lineRule="auto"/>
        <w:ind w:firstLine="480" w:firstLineChars="200"/>
        <w:rPr>
          <w:sz w:val="24"/>
        </w:rPr>
      </w:pPr>
      <w:r>
        <w:rPr>
          <w:sz w:val="24"/>
        </w:rPr>
        <w:t>（5）《建设项目竣工环境保护验收暂行办法》(国环规环评</w:t>
      </w:r>
      <w:r>
        <w:rPr>
          <w:rFonts w:hint="eastAsia"/>
          <w:sz w:val="24"/>
        </w:rPr>
        <w:t>〔2017〕4号</w:t>
      </w:r>
      <w:r>
        <w:rPr>
          <w:sz w:val="24"/>
        </w:rPr>
        <w:t>)；</w:t>
      </w:r>
    </w:p>
    <w:p w14:paraId="629FE512">
      <w:pPr>
        <w:adjustRightInd w:val="0"/>
        <w:snapToGrid w:val="0"/>
        <w:spacing w:line="360" w:lineRule="auto"/>
        <w:ind w:firstLine="480" w:firstLineChars="200"/>
        <w:rPr>
          <w:sz w:val="24"/>
        </w:rPr>
      </w:pPr>
      <w:r>
        <w:rPr>
          <w:sz w:val="24"/>
        </w:rPr>
        <w:t>（6）《建设项目竣工环境保护验收技术规范 输变电》(HJ705-2020)；</w:t>
      </w:r>
    </w:p>
    <w:p w14:paraId="050B1A24">
      <w:pPr>
        <w:spacing w:line="360" w:lineRule="auto"/>
        <w:ind w:firstLine="480" w:firstLineChars="200"/>
        <w:rPr>
          <w:sz w:val="24"/>
        </w:rPr>
      </w:pPr>
      <w:r>
        <w:rPr>
          <w:sz w:val="24"/>
        </w:rPr>
        <w:t>（7）《输变电建设项目环境保护技术要求》(HJ1113-2020)。</w:t>
      </w:r>
    </w:p>
    <w:p w14:paraId="57E2DE75">
      <w:pPr>
        <w:spacing w:line="360" w:lineRule="auto"/>
        <w:outlineLvl w:val="2"/>
        <w:rPr>
          <w:b/>
          <w:kern w:val="15"/>
          <w:sz w:val="24"/>
        </w:rPr>
      </w:pPr>
      <w:r>
        <w:rPr>
          <w:b/>
          <w:kern w:val="15"/>
          <w:sz w:val="24"/>
        </w:rPr>
        <w:t>1.3.3 技术文件和技术资料</w:t>
      </w:r>
    </w:p>
    <w:p w14:paraId="5B21DB3A">
      <w:pPr>
        <w:widowControl/>
        <w:spacing w:line="360" w:lineRule="auto"/>
        <w:ind w:firstLine="480" w:firstLineChars="200"/>
        <w:jc w:val="left"/>
        <w:rPr>
          <w:sz w:val="24"/>
        </w:rPr>
      </w:pPr>
      <w:r>
        <w:rPr>
          <w:sz w:val="24"/>
        </w:rPr>
        <w:t>（1）《京能吐鲁番市托克逊县产业园低碳转型光伏项目220</w:t>
      </w:r>
      <w:r>
        <w:rPr>
          <w:rFonts w:hint="eastAsia"/>
          <w:sz w:val="24"/>
        </w:rPr>
        <w:t>kV</w:t>
      </w:r>
      <w:r>
        <w:rPr>
          <w:sz w:val="24"/>
        </w:rPr>
        <w:t>送出工程可行性研究报告》（中国能源建设集团新疆电力设计院有限公司，2025年1月编制）；</w:t>
      </w:r>
    </w:p>
    <w:p w14:paraId="67910F76">
      <w:pPr>
        <w:widowControl/>
        <w:spacing w:line="360" w:lineRule="auto"/>
        <w:ind w:firstLine="480" w:firstLineChars="200"/>
        <w:jc w:val="left"/>
        <w:rPr>
          <w:sz w:val="24"/>
        </w:rPr>
      </w:pPr>
      <w:r>
        <w:rPr>
          <w:sz w:val="24"/>
        </w:rPr>
        <w:t>（2）《京能吐鲁番市托克逊县220</w:t>
      </w:r>
      <w:r>
        <w:rPr>
          <w:rFonts w:hint="eastAsia"/>
          <w:sz w:val="24"/>
        </w:rPr>
        <w:t>kV</w:t>
      </w:r>
      <w:r>
        <w:rPr>
          <w:sz w:val="24"/>
        </w:rPr>
        <w:t>升压站可行性研究报告》（中国能源建设集团新疆电力设计院有限公司，2025年1月编制）；</w:t>
      </w:r>
    </w:p>
    <w:p w14:paraId="565DD8F8">
      <w:pPr>
        <w:spacing w:line="360" w:lineRule="auto"/>
        <w:ind w:firstLine="480" w:firstLineChars="200"/>
        <w:rPr>
          <w:sz w:val="24"/>
        </w:rPr>
      </w:pPr>
      <w:r>
        <w:rPr>
          <w:sz w:val="24"/>
        </w:rPr>
        <w:t>（3）监测报告。</w:t>
      </w:r>
    </w:p>
    <w:p w14:paraId="727927D9">
      <w:pPr>
        <w:pStyle w:val="3"/>
        <w:rPr>
          <w:rFonts w:ascii="Times New Roman" w:hAnsi="Times New Roman" w:eastAsia="宋体"/>
          <w:sz w:val="24"/>
          <w:szCs w:val="24"/>
        </w:rPr>
      </w:pPr>
      <w:r>
        <w:rPr>
          <w:rFonts w:ascii="Times New Roman" w:hAnsi="Times New Roman" w:eastAsia="宋体"/>
          <w:sz w:val="24"/>
          <w:szCs w:val="24"/>
        </w:rPr>
        <w:t>1.4 评价因子、评价等级、评价范围</w:t>
      </w:r>
    </w:p>
    <w:p w14:paraId="5ADA04E5">
      <w:pPr>
        <w:widowControl/>
        <w:spacing w:line="360" w:lineRule="auto"/>
        <w:ind w:firstLine="480" w:firstLineChars="200"/>
        <w:jc w:val="left"/>
        <w:rPr>
          <w:sz w:val="24"/>
        </w:rPr>
      </w:pPr>
      <w:r>
        <w:rPr>
          <w:sz w:val="24"/>
        </w:rPr>
        <w:t>（1）评价因子</w:t>
      </w:r>
    </w:p>
    <w:p w14:paraId="12AFE299">
      <w:pPr>
        <w:widowControl/>
        <w:spacing w:line="360" w:lineRule="auto"/>
        <w:ind w:firstLine="480" w:firstLineChars="200"/>
        <w:jc w:val="left"/>
        <w:rPr>
          <w:sz w:val="24"/>
        </w:rPr>
      </w:pPr>
      <w:r>
        <w:rPr>
          <w:sz w:val="24"/>
        </w:rPr>
        <w:t>本工程为电压等级220</w:t>
      </w:r>
      <w:r>
        <w:rPr>
          <w:rFonts w:hint="eastAsia"/>
          <w:sz w:val="24"/>
        </w:rPr>
        <w:t>kV</w:t>
      </w:r>
      <w:r>
        <w:rPr>
          <w:sz w:val="24"/>
        </w:rPr>
        <w:t>的输变电类项目，运行过程中会对周围电磁环境产生影响，其主要污染因子为工频电场和工频磁场，因此，选择工频电场和工频磁场作为本专题评价因子。</w:t>
      </w:r>
    </w:p>
    <w:p w14:paraId="0339AD73">
      <w:pPr>
        <w:widowControl/>
        <w:spacing w:line="360" w:lineRule="auto"/>
        <w:ind w:firstLine="480" w:firstLineChars="200"/>
        <w:jc w:val="left"/>
        <w:rPr>
          <w:sz w:val="24"/>
        </w:rPr>
      </w:pPr>
      <w:r>
        <w:rPr>
          <w:sz w:val="24"/>
        </w:rPr>
        <w:t>（2）评价等级</w:t>
      </w:r>
    </w:p>
    <w:p w14:paraId="3F42CD0A">
      <w:pPr>
        <w:widowControl/>
        <w:spacing w:line="360" w:lineRule="auto"/>
        <w:ind w:firstLine="480" w:firstLineChars="200"/>
        <w:jc w:val="left"/>
        <w:rPr>
          <w:sz w:val="24"/>
        </w:rPr>
      </w:pPr>
      <w:r>
        <w:rPr>
          <w:sz w:val="24"/>
        </w:rPr>
        <w:t>本项目为220</w:t>
      </w:r>
      <w:r>
        <w:rPr>
          <w:rFonts w:hint="eastAsia"/>
          <w:sz w:val="24"/>
        </w:rPr>
        <w:t>kV</w:t>
      </w:r>
      <w:r>
        <w:rPr>
          <w:sz w:val="24"/>
        </w:rPr>
        <w:t>电压等级的输变电类项目，本项目升压站的主变压器为户外布置，输电线路为220</w:t>
      </w:r>
      <w:r>
        <w:rPr>
          <w:rFonts w:hint="eastAsia"/>
          <w:sz w:val="24"/>
        </w:rPr>
        <w:t>kV</w:t>
      </w:r>
      <w:r>
        <w:rPr>
          <w:sz w:val="24"/>
        </w:rPr>
        <w:t>架空线路。根据《环境影响评价技术导则 输变电》(HJ 24-2020)评价工作等级划分原则，确定本项目工作等级，详见1.4-1。</w:t>
      </w:r>
    </w:p>
    <w:p w14:paraId="289DF28F">
      <w:pPr>
        <w:adjustRightInd w:val="0"/>
        <w:snapToGrid w:val="0"/>
        <w:ind w:firstLine="422" w:firstLineChars="200"/>
        <w:jc w:val="center"/>
        <w:rPr>
          <w:b/>
          <w:sz w:val="24"/>
        </w:rPr>
      </w:pPr>
      <w:r>
        <w:rPr>
          <w:b/>
          <w:sz w:val="21"/>
          <w:szCs w:val="21"/>
        </w:rPr>
        <w:t xml:space="preserve">表1.4-1 </w:t>
      </w:r>
      <w:r>
        <w:rPr>
          <w:rFonts w:hint="eastAsia"/>
          <w:b/>
          <w:sz w:val="21"/>
          <w:szCs w:val="21"/>
          <w:lang w:val="en-US" w:eastAsia="zh-CN"/>
        </w:rPr>
        <w:t xml:space="preserve"> </w:t>
      </w:r>
      <w:r>
        <w:rPr>
          <w:b/>
          <w:sz w:val="21"/>
          <w:szCs w:val="21"/>
        </w:rPr>
        <w:t xml:space="preserve"> 电磁环境影响评价工作等级划分原则</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81"/>
        <w:gridCol w:w="998"/>
        <w:gridCol w:w="883"/>
        <w:gridCol w:w="2222"/>
        <w:gridCol w:w="1051"/>
        <w:gridCol w:w="1905"/>
        <w:gridCol w:w="982"/>
      </w:tblGrid>
      <w:tr w14:paraId="34E07F6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Merge w:val="restart"/>
            <w:vAlign w:val="center"/>
          </w:tcPr>
          <w:p w14:paraId="1A01A855">
            <w:pPr>
              <w:keepNext w:val="0"/>
              <w:keepLines w:val="0"/>
              <w:suppressLineNumbers w:val="0"/>
              <w:adjustRightInd w:val="0"/>
              <w:snapToGrid w:val="0"/>
              <w:spacing w:before="0" w:beforeAutospacing="0" w:after="0" w:afterAutospacing="0"/>
              <w:ind w:left="0" w:right="0"/>
              <w:jc w:val="center"/>
              <w:rPr>
                <w:szCs w:val="21"/>
              </w:rPr>
            </w:pPr>
            <w:r>
              <w:rPr>
                <w:szCs w:val="21"/>
              </w:rPr>
              <w:t>分</w:t>
            </w:r>
          </w:p>
          <w:p w14:paraId="74C20342">
            <w:pPr>
              <w:keepNext w:val="0"/>
              <w:keepLines w:val="0"/>
              <w:suppressLineNumbers w:val="0"/>
              <w:adjustRightInd w:val="0"/>
              <w:snapToGrid w:val="0"/>
              <w:spacing w:before="0" w:beforeAutospacing="0" w:after="0" w:afterAutospacing="0"/>
              <w:ind w:left="0" w:right="0"/>
              <w:jc w:val="center"/>
              <w:rPr>
                <w:szCs w:val="21"/>
              </w:rPr>
            </w:pPr>
            <w:r>
              <w:rPr>
                <w:szCs w:val="21"/>
              </w:rPr>
              <w:t>类</w:t>
            </w:r>
          </w:p>
        </w:tc>
        <w:tc>
          <w:tcPr>
            <w:tcW w:w="585" w:type="pct"/>
            <w:vMerge w:val="restart"/>
            <w:vAlign w:val="center"/>
          </w:tcPr>
          <w:p w14:paraId="32E8D53B">
            <w:pPr>
              <w:keepNext w:val="0"/>
              <w:keepLines w:val="0"/>
              <w:suppressLineNumbers w:val="0"/>
              <w:adjustRightInd w:val="0"/>
              <w:snapToGrid w:val="0"/>
              <w:spacing w:before="0" w:beforeAutospacing="0" w:after="0" w:afterAutospacing="0"/>
              <w:ind w:left="0" w:right="0"/>
              <w:jc w:val="center"/>
              <w:rPr>
                <w:szCs w:val="21"/>
              </w:rPr>
            </w:pPr>
            <w:r>
              <w:rPr>
                <w:szCs w:val="21"/>
              </w:rPr>
              <w:t>电压</w:t>
            </w:r>
          </w:p>
          <w:p w14:paraId="739BD403">
            <w:pPr>
              <w:keepNext w:val="0"/>
              <w:keepLines w:val="0"/>
              <w:suppressLineNumbers w:val="0"/>
              <w:adjustRightInd w:val="0"/>
              <w:snapToGrid w:val="0"/>
              <w:spacing w:before="0" w:beforeAutospacing="0" w:after="0" w:afterAutospacing="0"/>
              <w:ind w:left="0" w:right="0"/>
              <w:jc w:val="center"/>
              <w:rPr>
                <w:szCs w:val="21"/>
              </w:rPr>
            </w:pPr>
            <w:r>
              <w:rPr>
                <w:szCs w:val="21"/>
              </w:rPr>
              <w:t>等级</w:t>
            </w:r>
          </w:p>
        </w:tc>
        <w:tc>
          <w:tcPr>
            <w:tcW w:w="518" w:type="pct"/>
            <w:vMerge w:val="restart"/>
            <w:vAlign w:val="center"/>
          </w:tcPr>
          <w:p w14:paraId="74AA089C">
            <w:pPr>
              <w:keepNext w:val="0"/>
              <w:keepLines w:val="0"/>
              <w:suppressLineNumbers w:val="0"/>
              <w:adjustRightInd w:val="0"/>
              <w:snapToGrid w:val="0"/>
              <w:spacing w:before="0" w:beforeAutospacing="0" w:after="0" w:afterAutospacing="0"/>
              <w:ind w:left="0" w:right="0"/>
              <w:jc w:val="center"/>
              <w:rPr>
                <w:szCs w:val="21"/>
              </w:rPr>
            </w:pPr>
            <w:r>
              <w:rPr>
                <w:szCs w:val="21"/>
              </w:rPr>
              <w:t>工程</w:t>
            </w:r>
          </w:p>
        </w:tc>
        <w:tc>
          <w:tcPr>
            <w:tcW w:w="1303" w:type="pct"/>
            <w:vMerge w:val="restart"/>
            <w:vAlign w:val="center"/>
          </w:tcPr>
          <w:p w14:paraId="261B8239">
            <w:pPr>
              <w:keepNext w:val="0"/>
              <w:keepLines w:val="0"/>
              <w:suppressLineNumbers w:val="0"/>
              <w:adjustRightInd w:val="0"/>
              <w:snapToGrid w:val="0"/>
              <w:spacing w:before="0" w:beforeAutospacing="0" w:after="0" w:afterAutospacing="0"/>
              <w:ind w:left="0" w:right="0"/>
              <w:jc w:val="center"/>
              <w:rPr>
                <w:szCs w:val="21"/>
              </w:rPr>
            </w:pPr>
            <w:r>
              <w:rPr>
                <w:szCs w:val="21"/>
              </w:rPr>
              <w:t>条件</w:t>
            </w:r>
          </w:p>
        </w:tc>
        <w:tc>
          <w:tcPr>
            <w:tcW w:w="616" w:type="pct"/>
            <w:vMerge w:val="restart"/>
            <w:vAlign w:val="center"/>
          </w:tcPr>
          <w:p w14:paraId="0F06BD2E">
            <w:pPr>
              <w:keepNext w:val="0"/>
              <w:keepLines w:val="0"/>
              <w:suppressLineNumbers w:val="0"/>
              <w:adjustRightInd w:val="0"/>
              <w:snapToGrid w:val="0"/>
              <w:spacing w:before="0" w:beforeAutospacing="0" w:after="0" w:afterAutospacing="0"/>
              <w:ind w:left="0" w:right="0"/>
              <w:jc w:val="center"/>
              <w:rPr>
                <w:szCs w:val="21"/>
              </w:rPr>
            </w:pPr>
            <w:r>
              <w:rPr>
                <w:szCs w:val="21"/>
              </w:rPr>
              <w:t>评价工</w:t>
            </w:r>
          </w:p>
          <w:p w14:paraId="64FBEDCC">
            <w:pPr>
              <w:keepNext w:val="0"/>
              <w:keepLines w:val="0"/>
              <w:suppressLineNumbers w:val="0"/>
              <w:adjustRightInd w:val="0"/>
              <w:snapToGrid w:val="0"/>
              <w:spacing w:before="0" w:beforeAutospacing="0" w:after="0" w:afterAutospacing="0"/>
              <w:ind w:left="0" w:right="0"/>
              <w:jc w:val="center"/>
              <w:rPr>
                <w:szCs w:val="21"/>
              </w:rPr>
            </w:pPr>
            <w:r>
              <w:rPr>
                <w:szCs w:val="21"/>
              </w:rPr>
              <w:t>作等级</w:t>
            </w:r>
          </w:p>
        </w:tc>
        <w:tc>
          <w:tcPr>
            <w:tcW w:w="1693" w:type="pct"/>
            <w:gridSpan w:val="2"/>
            <w:vAlign w:val="center"/>
          </w:tcPr>
          <w:p w14:paraId="38157C61">
            <w:pPr>
              <w:keepNext w:val="0"/>
              <w:keepLines w:val="0"/>
              <w:suppressLineNumbers w:val="0"/>
              <w:adjustRightInd w:val="0"/>
              <w:snapToGrid w:val="0"/>
              <w:spacing w:before="0" w:beforeAutospacing="0" w:after="0" w:afterAutospacing="0"/>
              <w:ind w:left="0" w:right="0"/>
              <w:jc w:val="center"/>
              <w:rPr>
                <w:szCs w:val="21"/>
              </w:rPr>
            </w:pPr>
            <w:r>
              <w:rPr>
                <w:szCs w:val="21"/>
              </w:rPr>
              <w:t>本项目</w:t>
            </w:r>
          </w:p>
        </w:tc>
      </w:tr>
      <w:tr w14:paraId="102F7AF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Merge w:val="continue"/>
            <w:vAlign w:val="center"/>
          </w:tcPr>
          <w:p w14:paraId="2F716EE7">
            <w:pPr>
              <w:keepNext w:val="0"/>
              <w:keepLines w:val="0"/>
              <w:widowControl/>
              <w:suppressLineNumbers w:val="0"/>
              <w:spacing w:before="0" w:beforeAutospacing="0" w:after="0" w:afterAutospacing="0"/>
              <w:ind w:left="0" w:right="0"/>
              <w:jc w:val="center"/>
              <w:rPr>
                <w:szCs w:val="21"/>
              </w:rPr>
            </w:pPr>
          </w:p>
        </w:tc>
        <w:tc>
          <w:tcPr>
            <w:tcW w:w="585" w:type="pct"/>
            <w:vMerge w:val="continue"/>
            <w:vAlign w:val="center"/>
          </w:tcPr>
          <w:p w14:paraId="1F1987FE">
            <w:pPr>
              <w:keepNext w:val="0"/>
              <w:keepLines w:val="0"/>
              <w:widowControl/>
              <w:suppressLineNumbers w:val="0"/>
              <w:spacing w:before="0" w:beforeAutospacing="0" w:after="0" w:afterAutospacing="0"/>
              <w:ind w:left="0" w:right="0"/>
              <w:jc w:val="center"/>
              <w:rPr>
                <w:szCs w:val="21"/>
              </w:rPr>
            </w:pPr>
          </w:p>
        </w:tc>
        <w:tc>
          <w:tcPr>
            <w:tcW w:w="518" w:type="pct"/>
            <w:vMerge w:val="continue"/>
            <w:vAlign w:val="center"/>
          </w:tcPr>
          <w:p w14:paraId="48D90AD6">
            <w:pPr>
              <w:keepNext w:val="0"/>
              <w:keepLines w:val="0"/>
              <w:widowControl/>
              <w:suppressLineNumbers w:val="0"/>
              <w:spacing w:before="0" w:beforeAutospacing="0" w:after="0" w:afterAutospacing="0"/>
              <w:ind w:left="0" w:right="0"/>
              <w:jc w:val="center"/>
              <w:rPr>
                <w:szCs w:val="21"/>
              </w:rPr>
            </w:pPr>
          </w:p>
        </w:tc>
        <w:tc>
          <w:tcPr>
            <w:tcW w:w="1303" w:type="pct"/>
            <w:vMerge w:val="continue"/>
            <w:vAlign w:val="center"/>
          </w:tcPr>
          <w:p w14:paraId="23E76079">
            <w:pPr>
              <w:keepNext w:val="0"/>
              <w:keepLines w:val="0"/>
              <w:widowControl/>
              <w:suppressLineNumbers w:val="0"/>
              <w:spacing w:before="0" w:beforeAutospacing="0" w:after="0" w:afterAutospacing="0"/>
              <w:ind w:left="0" w:right="0"/>
              <w:jc w:val="center"/>
              <w:rPr>
                <w:szCs w:val="21"/>
              </w:rPr>
            </w:pPr>
          </w:p>
        </w:tc>
        <w:tc>
          <w:tcPr>
            <w:tcW w:w="616" w:type="pct"/>
            <w:vMerge w:val="continue"/>
            <w:vAlign w:val="center"/>
          </w:tcPr>
          <w:p w14:paraId="75234876">
            <w:pPr>
              <w:keepNext w:val="0"/>
              <w:keepLines w:val="0"/>
              <w:widowControl/>
              <w:suppressLineNumbers w:val="0"/>
              <w:spacing w:before="0" w:beforeAutospacing="0" w:after="0" w:afterAutospacing="0"/>
              <w:ind w:left="0" w:right="0"/>
              <w:jc w:val="center"/>
              <w:rPr>
                <w:szCs w:val="21"/>
              </w:rPr>
            </w:pPr>
          </w:p>
        </w:tc>
        <w:tc>
          <w:tcPr>
            <w:tcW w:w="1117" w:type="pct"/>
            <w:vAlign w:val="center"/>
          </w:tcPr>
          <w:p w14:paraId="52609C31">
            <w:pPr>
              <w:keepNext w:val="0"/>
              <w:keepLines w:val="0"/>
              <w:suppressLineNumbers w:val="0"/>
              <w:adjustRightInd w:val="0"/>
              <w:snapToGrid w:val="0"/>
              <w:spacing w:before="0" w:beforeAutospacing="0" w:after="0" w:afterAutospacing="0"/>
              <w:ind w:left="0" w:right="0"/>
              <w:jc w:val="center"/>
              <w:rPr>
                <w:szCs w:val="21"/>
              </w:rPr>
            </w:pPr>
            <w:r>
              <w:rPr>
                <w:szCs w:val="21"/>
              </w:rPr>
              <w:t>条件</w:t>
            </w:r>
          </w:p>
        </w:tc>
        <w:tc>
          <w:tcPr>
            <w:tcW w:w="576" w:type="pct"/>
            <w:tcMar>
              <w:top w:w="0" w:type="dxa"/>
              <w:left w:w="28" w:type="dxa"/>
              <w:bottom w:w="0" w:type="dxa"/>
              <w:right w:w="28" w:type="dxa"/>
            </w:tcMar>
            <w:vAlign w:val="center"/>
          </w:tcPr>
          <w:p w14:paraId="2DC1F52B">
            <w:pPr>
              <w:keepNext w:val="0"/>
              <w:keepLines w:val="0"/>
              <w:suppressLineNumbers w:val="0"/>
              <w:adjustRightInd w:val="0"/>
              <w:snapToGrid w:val="0"/>
              <w:spacing w:before="0" w:beforeAutospacing="0" w:after="0" w:afterAutospacing="0"/>
              <w:ind w:left="0" w:right="0"/>
              <w:jc w:val="center"/>
              <w:rPr>
                <w:szCs w:val="21"/>
              </w:rPr>
            </w:pPr>
            <w:r>
              <w:rPr>
                <w:szCs w:val="21"/>
              </w:rPr>
              <w:t>工作等级</w:t>
            </w:r>
          </w:p>
        </w:tc>
      </w:tr>
      <w:tr w14:paraId="1C30FD6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282" w:type="pct"/>
            <w:vMerge w:val="restart"/>
            <w:vAlign w:val="center"/>
          </w:tcPr>
          <w:p w14:paraId="2C07C1F3">
            <w:pPr>
              <w:keepNext w:val="0"/>
              <w:keepLines w:val="0"/>
              <w:suppressLineNumbers w:val="0"/>
              <w:adjustRightInd w:val="0"/>
              <w:snapToGrid w:val="0"/>
              <w:spacing w:before="0" w:beforeAutospacing="0" w:after="0" w:afterAutospacing="0"/>
              <w:ind w:left="0" w:right="0"/>
              <w:jc w:val="center"/>
              <w:rPr>
                <w:szCs w:val="21"/>
              </w:rPr>
            </w:pPr>
            <w:r>
              <w:rPr>
                <w:szCs w:val="21"/>
              </w:rPr>
              <w:t>交流</w:t>
            </w:r>
          </w:p>
        </w:tc>
        <w:tc>
          <w:tcPr>
            <w:tcW w:w="585" w:type="pct"/>
            <w:vMerge w:val="restart"/>
            <w:vAlign w:val="center"/>
          </w:tcPr>
          <w:p w14:paraId="522B7577">
            <w:pPr>
              <w:keepNext w:val="0"/>
              <w:keepLines w:val="0"/>
              <w:suppressLineNumbers w:val="0"/>
              <w:adjustRightInd w:val="0"/>
              <w:snapToGrid w:val="0"/>
              <w:spacing w:before="0" w:beforeAutospacing="0" w:after="0" w:afterAutospacing="0"/>
              <w:ind w:left="0" w:right="0"/>
              <w:jc w:val="center"/>
              <w:rPr>
                <w:szCs w:val="21"/>
              </w:rPr>
            </w:pPr>
            <w:r>
              <w:rPr>
                <w:szCs w:val="21"/>
              </w:rPr>
              <w:t>220kV～330kV</w:t>
            </w:r>
          </w:p>
        </w:tc>
        <w:tc>
          <w:tcPr>
            <w:tcW w:w="518" w:type="pct"/>
            <w:vMerge w:val="restart"/>
            <w:vAlign w:val="center"/>
          </w:tcPr>
          <w:p w14:paraId="4DEE9648">
            <w:pPr>
              <w:keepNext w:val="0"/>
              <w:keepLines w:val="0"/>
              <w:suppressLineNumbers w:val="0"/>
              <w:adjustRightInd w:val="0"/>
              <w:snapToGrid w:val="0"/>
              <w:spacing w:before="0" w:beforeAutospacing="0" w:after="0" w:afterAutospacing="0"/>
              <w:ind w:left="0" w:right="0"/>
              <w:jc w:val="center"/>
              <w:rPr>
                <w:szCs w:val="21"/>
              </w:rPr>
            </w:pPr>
            <w:r>
              <w:rPr>
                <w:szCs w:val="21"/>
              </w:rPr>
              <w:t>变电站</w:t>
            </w:r>
          </w:p>
        </w:tc>
        <w:tc>
          <w:tcPr>
            <w:tcW w:w="1303" w:type="pct"/>
            <w:vAlign w:val="center"/>
          </w:tcPr>
          <w:p w14:paraId="53476658">
            <w:pPr>
              <w:keepNext w:val="0"/>
              <w:keepLines w:val="0"/>
              <w:suppressLineNumbers w:val="0"/>
              <w:adjustRightInd w:val="0"/>
              <w:snapToGrid w:val="0"/>
              <w:spacing w:before="0" w:beforeAutospacing="0" w:after="0" w:afterAutospacing="0"/>
              <w:ind w:left="0" w:right="0"/>
              <w:jc w:val="center"/>
              <w:rPr>
                <w:szCs w:val="21"/>
              </w:rPr>
            </w:pPr>
            <w:r>
              <w:rPr>
                <w:szCs w:val="21"/>
              </w:rPr>
              <w:t>户内式、地下式</w:t>
            </w:r>
          </w:p>
        </w:tc>
        <w:tc>
          <w:tcPr>
            <w:tcW w:w="616" w:type="pct"/>
            <w:vAlign w:val="center"/>
          </w:tcPr>
          <w:p w14:paraId="7CD7DF7B">
            <w:pPr>
              <w:keepNext w:val="0"/>
              <w:keepLines w:val="0"/>
              <w:suppressLineNumbers w:val="0"/>
              <w:adjustRightInd w:val="0"/>
              <w:snapToGrid w:val="0"/>
              <w:spacing w:before="0" w:beforeAutospacing="0" w:after="0" w:afterAutospacing="0"/>
              <w:ind w:left="0" w:right="0"/>
              <w:jc w:val="center"/>
              <w:rPr>
                <w:szCs w:val="21"/>
              </w:rPr>
            </w:pPr>
            <w:r>
              <w:rPr>
                <w:szCs w:val="21"/>
              </w:rPr>
              <w:t>三级</w:t>
            </w:r>
          </w:p>
        </w:tc>
        <w:tc>
          <w:tcPr>
            <w:tcW w:w="1117" w:type="pct"/>
            <w:vAlign w:val="center"/>
          </w:tcPr>
          <w:p w14:paraId="28BE5325">
            <w:pPr>
              <w:keepNext w:val="0"/>
              <w:keepLines w:val="0"/>
              <w:suppressLineNumbers w:val="0"/>
              <w:adjustRightInd w:val="0"/>
              <w:snapToGrid w:val="0"/>
              <w:spacing w:before="0" w:beforeAutospacing="0" w:after="0" w:afterAutospacing="0"/>
              <w:ind w:left="0" w:right="0"/>
              <w:jc w:val="center"/>
              <w:rPr>
                <w:szCs w:val="21"/>
                <w:shd w:val="pct15" w:color="auto" w:fill="FFFFFF"/>
              </w:rPr>
            </w:pPr>
            <w:r>
              <w:rPr>
                <w:szCs w:val="21"/>
              </w:rPr>
              <w:t>/</w:t>
            </w:r>
          </w:p>
        </w:tc>
        <w:tc>
          <w:tcPr>
            <w:tcW w:w="576" w:type="pct"/>
            <w:vAlign w:val="center"/>
          </w:tcPr>
          <w:p w14:paraId="056A0890">
            <w:pPr>
              <w:keepNext w:val="0"/>
              <w:keepLines w:val="0"/>
              <w:suppressLineNumbers w:val="0"/>
              <w:adjustRightInd w:val="0"/>
              <w:snapToGrid w:val="0"/>
              <w:spacing w:before="0" w:beforeAutospacing="0" w:after="0" w:afterAutospacing="0"/>
              <w:ind w:left="0" w:right="0"/>
              <w:jc w:val="center"/>
              <w:rPr>
                <w:szCs w:val="21"/>
                <w:shd w:val="pct15" w:color="auto" w:fill="FFFFFF"/>
              </w:rPr>
            </w:pPr>
            <w:r>
              <w:rPr>
                <w:szCs w:val="21"/>
              </w:rPr>
              <w:t>/</w:t>
            </w:r>
          </w:p>
        </w:tc>
      </w:tr>
      <w:tr w14:paraId="0718908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82" w:type="pct"/>
            <w:vMerge w:val="continue"/>
            <w:vAlign w:val="center"/>
          </w:tcPr>
          <w:p w14:paraId="1FC64DDB">
            <w:pPr>
              <w:keepNext w:val="0"/>
              <w:keepLines w:val="0"/>
              <w:widowControl/>
              <w:suppressLineNumbers w:val="0"/>
              <w:spacing w:before="0" w:beforeAutospacing="0" w:after="0" w:afterAutospacing="0"/>
              <w:ind w:left="0" w:right="0"/>
              <w:jc w:val="center"/>
              <w:rPr>
                <w:szCs w:val="21"/>
              </w:rPr>
            </w:pPr>
          </w:p>
        </w:tc>
        <w:tc>
          <w:tcPr>
            <w:tcW w:w="585" w:type="pct"/>
            <w:vMerge w:val="continue"/>
            <w:vAlign w:val="center"/>
          </w:tcPr>
          <w:p w14:paraId="41C41890">
            <w:pPr>
              <w:keepNext w:val="0"/>
              <w:keepLines w:val="0"/>
              <w:widowControl/>
              <w:suppressLineNumbers w:val="0"/>
              <w:spacing w:before="0" w:beforeAutospacing="0" w:after="0" w:afterAutospacing="0"/>
              <w:ind w:left="0" w:right="0"/>
              <w:jc w:val="center"/>
              <w:rPr>
                <w:szCs w:val="21"/>
              </w:rPr>
            </w:pPr>
          </w:p>
        </w:tc>
        <w:tc>
          <w:tcPr>
            <w:tcW w:w="518" w:type="pct"/>
            <w:vMerge w:val="continue"/>
            <w:vAlign w:val="center"/>
          </w:tcPr>
          <w:p w14:paraId="7044DA80">
            <w:pPr>
              <w:keepNext w:val="0"/>
              <w:keepLines w:val="0"/>
              <w:widowControl/>
              <w:suppressLineNumbers w:val="0"/>
              <w:spacing w:before="0" w:beforeAutospacing="0" w:after="0" w:afterAutospacing="0"/>
              <w:ind w:left="0" w:right="0"/>
              <w:jc w:val="center"/>
              <w:rPr>
                <w:szCs w:val="21"/>
              </w:rPr>
            </w:pPr>
          </w:p>
        </w:tc>
        <w:tc>
          <w:tcPr>
            <w:tcW w:w="1303" w:type="pct"/>
            <w:vAlign w:val="center"/>
          </w:tcPr>
          <w:p w14:paraId="5E659D97">
            <w:pPr>
              <w:keepNext w:val="0"/>
              <w:keepLines w:val="0"/>
              <w:suppressLineNumbers w:val="0"/>
              <w:adjustRightInd w:val="0"/>
              <w:snapToGrid w:val="0"/>
              <w:spacing w:before="0" w:beforeAutospacing="0" w:after="0" w:afterAutospacing="0"/>
              <w:ind w:left="0" w:right="0"/>
              <w:jc w:val="center"/>
              <w:rPr>
                <w:szCs w:val="21"/>
              </w:rPr>
            </w:pPr>
            <w:r>
              <w:rPr>
                <w:szCs w:val="21"/>
              </w:rPr>
              <w:t>户外式</w:t>
            </w:r>
          </w:p>
        </w:tc>
        <w:tc>
          <w:tcPr>
            <w:tcW w:w="616" w:type="pct"/>
            <w:vAlign w:val="center"/>
          </w:tcPr>
          <w:p w14:paraId="66587A6D">
            <w:pPr>
              <w:keepNext w:val="0"/>
              <w:keepLines w:val="0"/>
              <w:suppressLineNumbers w:val="0"/>
              <w:adjustRightInd w:val="0"/>
              <w:snapToGrid w:val="0"/>
              <w:spacing w:before="0" w:beforeAutospacing="0" w:after="0" w:afterAutospacing="0"/>
              <w:ind w:left="0" w:right="0"/>
              <w:jc w:val="center"/>
              <w:rPr>
                <w:szCs w:val="21"/>
              </w:rPr>
            </w:pPr>
            <w:r>
              <w:rPr>
                <w:szCs w:val="21"/>
              </w:rPr>
              <w:t>二级</w:t>
            </w:r>
          </w:p>
        </w:tc>
        <w:tc>
          <w:tcPr>
            <w:tcW w:w="1117" w:type="pct"/>
            <w:vAlign w:val="center"/>
          </w:tcPr>
          <w:p w14:paraId="6E76D9F6">
            <w:pPr>
              <w:keepNext w:val="0"/>
              <w:keepLines w:val="0"/>
              <w:suppressLineNumbers w:val="0"/>
              <w:adjustRightInd w:val="0"/>
              <w:snapToGrid w:val="0"/>
              <w:spacing w:before="0" w:beforeAutospacing="0" w:after="0" w:afterAutospacing="0"/>
              <w:ind w:left="0" w:right="0"/>
              <w:jc w:val="center"/>
              <w:rPr>
                <w:szCs w:val="21"/>
              </w:rPr>
            </w:pPr>
            <w:r>
              <w:rPr>
                <w:szCs w:val="21"/>
              </w:rPr>
              <w:t>户外式</w:t>
            </w:r>
          </w:p>
        </w:tc>
        <w:tc>
          <w:tcPr>
            <w:tcW w:w="576" w:type="pct"/>
            <w:vAlign w:val="center"/>
          </w:tcPr>
          <w:p w14:paraId="6FCAB657">
            <w:pPr>
              <w:keepNext w:val="0"/>
              <w:keepLines w:val="0"/>
              <w:suppressLineNumbers w:val="0"/>
              <w:adjustRightInd w:val="0"/>
              <w:snapToGrid w:val="0"/>
              <w:spacing w:before="0" w:beforeAutospacing="0" w:after="0" w:afterAutospacing="0"/>
              <w:ind w:left="0" w:right="0"/>
              <w:jc w:val="center"/>
              <w:rPr>
                <w:szCs w:val="21"/>
              </w:rPr>
            </w:pPr>
            <w:r>
              <w:rPr>
                <w:szCs w:val="21"/>
              </w:rPr>
              <w:t>二级</w:t>
            </w:r>
          </w:p>
        </w:tc>
      </w:tr>
      <w:tr w14:paraId="22E6CE5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282" w:type="pct"/>
            <w:vMerge w:val="continue"/>
            <w:vAlign w:val="center"/>
          </w:tcPr>
          <w:p w14:paraId="306A351D">
            <w:pPr>
              <w:keepNext w:val="0"/>
              <w:keepLines w:val="0"/>
              <w:widowControl/>
              <w:suppressLineNumbers w:val="0"/>
              <w:spacing w:before="0" w:beforeAutospacing="0" w:after="0" w:afterAutospacing="0"/>
              <w:ind w:left="0" w:right="0"/>
              <w:jc w:val="center"/>
              <w:rPr>
                <w:szCs w:val="21"/>
              </w:rPr>
            </w:pPr>
          </w:p>
        </w:tc>
        <w:tc>
          <w:tcPr>
            <w:tcW w:w="585" w:type="pct"/>
            <w:vMerge w:val="continue"/>
            <w:vAlign w:val="center"/>
          </w:tcPr>
          <w:p w14:paraId="2449A6B6">
            <w:pPr>
              <w:keepNext w:val="0"/>
              <w:keepLines w:val="0"/>
              <w:widowControl/>
              <w:suppressLineNumbers w:val="0"/>
              <w:spacing w:before="0" w:beforeAutospacing="0" w:after="0" w:afterAutospacing="0"/>
              <w:ind w:left="0" w:right="0"/>
              <w:jc w:val="center"/>
              <w:rPr>
                <w:szCs w:val="21"/>
              </w:rPr>
            </w:pPr>
          </w:p>
        </w:tc>
        <w:tc>
          <w:tcPr>
            <w:tcW w:w="518" w:type="pct"/>
            <w:vMerge w:val="restart"/>
            <w:vAlign w:val="center"/>
          </w:tcPr>
          <w:p w14:paraId="42BB00DC">
            <w:pPr>
              <w:keepNext w:val="0"/>
              <w:keepLines w:val="0"/>
              <w:widowControl/>
              <w:suppressLineNumbers w:val="0"/>
              <w:spacing w:before="0" w:beforeAutospacing="0" w:after="0" w:afterAutospacing="0"/>
              <w:ind w:left="0" w:right="0"/>
              <w:jc w:val="center"/>
              <w:rPr>
                <w:szCs w:val="21"/>
              </w:rPr>
            </w:pPr>
            <w:r>
              <w:rPr>
                <w:szCs w:val="21"/>
              </w:rPr>
              <w:t>输电线路</w:t>
            </w:r>
          </w:p>
        </w:tc>
        <w:tc>
          <w:tcPr>
            <w:tcW w:w="1303" w:type="pct"/>
            <w:vAlign w:val="center"/>
          </w:tcPr>
          <w:p w14:paraId="6077D0F4">
            <w:pPr>
              <w:keepNext w:val="0"/>
              <w:keepLines w:val="0"/>
              <w:widowControl/>
              <w:suppressLineNumbers w:val="0"/>
              <w:spacing w:before="0" w:beforeAutospacing="0" w:after="0" w:afterAutospacing="0"/>
              <w:ind w:left="0" w:right="0"/>
              <w:jc w:val="left"/>
              <w:rPr>
                <w:szCs w:val="21"/>
              </w:rPr>
            </w:pPr>
            <w:r>
              <w:rPr>
                <w:color w:val="000000"/>
                <w:kern w:val="0"/>
                <w:szCs w:val="21"/>
              </w:rPr>
              <w:t xml:space="preserve">1、地下电缆 </w:t>
            </w:r>
          </w:p>
          <w:p w14:paraId="55900D4B">
            <w:pPr>
              <w:keepNext w:val="0"/>
              <w:keepLines w:val="0"/>
              <w:widowControl/>
              <w:suppressLineNumbers w:val="0"/>
              <w:spacing w:before="0" w:beforeAutospacing="0" w:after="0" w:afterAutospacing="0"/>
              <w:ind w:left="0" w:right="0"/>
              <w:jc w:val="left"/>
              <w:rPr>
                <w:szCs w:val="21"/>
              </w:rPr>
            </w:pPr>
            <w:r>
              <w:rPr>
                <w:color w:val="000000"/>
                <w:kern w:val="0"/>
                <w:szCs w:val="21"/>
              </w:rPr>
              <w:t>2、边导线地面投影外两侧各15m范围内无电磁环境敏感目标的架空线路</w:t>
            </w:r>
          </w:p>
        </w:tc>
        <w:tc>
          <w:tcPr>
            <w:tcW w:w="616" w:type="pct"/>
            <w:vAlign w:val="center"/>
          </w:tcPr>
          <w:p w14:paraId="38E56437">
            <w:pPr>
              <w:keepNext w:val="0"/>
              <w:keepLines w:val="0"/>
              <w:suppressLineNumbers w:val="0"/>
              <w:adjustRightInd w:val="0"/>
              <w:snapToGrid w:val="0"/>
              <w:spacing w:before="0" w:beforeAutospacing="0" w:after="0" w:afterAutospacing="0"/>
              <w:ind w:left="0" w:right="0"/>
              <w:jc w:val="center"/>
              <w:rPr>
                <w:szCs w:val="21"/>
              </w:rPr>
            </w:pPr>
            <w:r>
              <w:rPr>
                <w:szCs w:val="21"/>
              </w:rPr>
              <w:t>三级</w:t>
            </w:r>
          </w:p>
        </w:tc>
        <w:tc>
          <w:tcPr>
            <w:tcW w:w="1117" w:type="pct"/>
            <w:vAlign w:val="center"/>
          </w:tcPr>
          <w:p w14:paraId="1DAE5144">
            <w:pPr>
              <w:keepNext w:val="0"/>
              <w:keepLines w:val="0"/>
              <w:widowControl/>
              <w:suppressLineNumbers w:val="0"/>
              <w:spacing w:before="0" w:beforeAutospacing="0" w:after="0" w:afterAutospacing="0"/>
              <w:ind w:left="0" w:right="0"/>
              <w:jc w:val="left"/>
              <w:rPr>
                <w:szCs w:val="21"/>
              </w:rPr>
            </w:pPr>
            <w:r>
              <w:rPr>
                <w:color w:val="000000"/>
                <w:kern w:val="0"/>
                <w:szCs w:val="21"/>
              </w:rPr>
              <w:t xml:space="preserve">边导线地面投影外 </w:t>
            </w:r>
          </w:p>
          <w:p w14:paraId="40727FCF">
            <w:pPr>
              <w:keepNext w:val="0"/>
              <w:keepLines w:val="0"/>
              <w:widowControl/>
              <w:suppressLineNumbers w:val="0"/>
              <w:spacing w:before="0" w:beforeAutospacing="0" w:after="0" w:afterAutospacing="0"/>
              <w:ind w:left="0" w:right="0"/>
              <w:jc w:val="left"/>
              <w:rPr>
                <w:szCs w:val="21"/>
              </w:rPr>
            </w:pPr>
            <w:r>
              <w:rPr>
                <w:color w:val="000000"/>
                <w:kern w:val="0"/>
                <w:szCs w:val="21"/>
              </w:rPr>
              <w:t>两侧各15m范围内无电磁环境敏感目标的架空线路</w:t>
            </w:r>
          </w:p>
        </w:tc>
        <w:tc>
          <w:tcPr>
            <w:tcW w:w="576" w:type="pct"/>
            <w:vAlign w:val="center"/>
          </w:tcPr>
          <w:p w14:paraId="24397F50">
            <w:pPr>
              <w:keepNext w:val="0"/>
              <w:keepLines w:val="0"/>
              <w:suppressLineNumbers w:val="0"/>
              <w:adjustRightInd w:val="0"/>
              <w:snapToGrid w:val="0"/>
              <w:spacing w:before="0" w:beforeAutospacing="0" w:after="0" w:afterAutospacing="0"/>
              <w:ind w:left="0" w:right="0"/>
              <w:jc w:val="center"/>
              <w:rPr>
                <w:szCs w:val="21"/>
              </w:rPr>
            </w:pPr>
            <w:r>
              <w:rPr>
                <w:szCs w:val="21"/>
              </w:rPr>
              <w:t>三级</w:t>
            </w:r>
          </w:p>
        </w:tc>
      </w:tr>
      <w:tr w14:paraId="2AFB233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282" w:type="pct"/>
            <w:vMerge w:val="continue"/>
            <w:vAlign w:val="center"/>
          </w:tcPr>
          <w:p w14:paraId="1B032794">
            <w:pPr>
              <w:keepNext w:val="0"/>
              <w:keepLines w:val="0"/>
              <w:widowControl/>
              <w:suppressLineNumbers w:val="0"/>
              <w:spacing w:before="0" w:beforeAutospacing="0" w:after="0" w:afterAutospacing="0"/>
              <w:ind w:left="0" w:right="0"/>
              <w:jc w:val="center"/>
              <w:rPr>
                <w:szCs w:val="21"/>
              </w:rPr>
            </w:pPr>
          </w:p>
        </w:tc>
        <w:tc>
          <w:tcPr>
            <w:tcW w:w="585" w:type="pct"/>
            <w:vMerge w:val="continue"/>
            <w:vAlign w:val="center"/>
          </w:tcPr>
          <w:p w14:paraId="65F23103">
            <w:pPr>
              <w:keepNext w:val="0"/>
              <w:keepLines w:val="0"/>
              <w:widowControl/>
              <w:suppressLineNumbers w:val="0"/>
              <w:spacing w:before="0" w:beforeAutospacing="0" w:after="0" w:afterAutospacing="0"/>
              <w:ind w:left="0" w:right="0"/>
              <w:jc w:val="center"/>
              <w:rPr>
                <w:szCs w:val="21"/>
              </w:rPr>
            </w:pPr>
          </w:p>
        </w:tc>
        <w:tc>
          <w:tcPr>
            <w:tcW w:w="518" w:type="pct"/>
            <w:vMerge w:val="continue"/>
            <w:vAlign w:val="center"/>
          </w:tcPr>
          <w:p w14:paraId="5C8642D4">
            <w:pPr>
              <w:keepNext w:val="0"/>
              <w:keepLines w:val="0"/>
              <w:widowControl/>
              <w:suppressLineNumbers w:val="0"/>
              <w:spacing w:before="0" w:beforeAutospacing="0" w:after="0" w:afterAutospacing="0"/>
              <w:ind w:left="0" w:right="0"/>
              <w:jc w:val="center"/>
              <w:rPr>
                <w:szCs w:val="21"/>
              </w:rPr>
            </w:pPr>
          </w:p>
        </w:tc>
        <w:tc>
          <w:tcPr>
            <w:tcW w:w="1303" w:type="pct"/>
            <w:vAlign w:val="center"/>
          </w:tcPr>
          <w:p w14:paraId="6A628D7A">
            <w:pPr>
              <w:keepNext w:val="0"/>
              <w:keepLines w:val="0"/>
              <w:widowControl/>
              <w:suppressLineNumbers w:val="0"/>
              <w:spacing w:before="0" w:beforeAutospacing="0" w:after="0" w:afterAutospacing="0"/>
              <w:ind w:left="0" w:right="0"/>
              <w:jc w:val="left"/>
              <w:rPr>
                <w:szCs w:val="21"/>
              </w:rPr>
            </w:pPr>
            <w:r>
              <w:rPr>
                <w:color w:val="000000"/>
                <w:kern w:val="0"/>
                <w:szCs w:val="21"/>
              </w:rPr>
              <w:t xml:space="preserve">边导线地面投影外两侧各15m范围内有电磁环境敏感目标的架 </w:t>
            </w:r>
          </w:p>
          <w:p w14:paraId="57CCD6B5">
            <w:pPr>
              <w:keepNext w:val="0"/>
              <w:keepLines w:val="0"/>
              <w:widowControl/>
              <w:suppressLineNumbers w:val="0"/>
              <w:spacing w:before="0" w:beforeAutospacing="0" w:after="0" w:afterAutospacing="0"/>
              <w:ind w:left="0" w:right="0"/>
              <w:jc w:val="left"/>
              <w:rPr>
                <w:szCs w:val="21"/>
              </w:rPr>
            </w:pPr>
            <w:r>
              <w:rPr>
                <w:color w:val="000000"/>
                <w:kern w:val="0"/>
                <w:szCs w:val="21"/>
              </w:rPr>
              <w:t>空线路</w:t>
            </w:r>
          </w:p>
        </w:tc>
        <w:tc>
          <w:tcPr>
            <w:tcW w:w="616" w:type="pct"/>
            <w:vAlign w:val="center"/>
          </w:tcPr>
          <w:p w14:paraId="02AC3B79">
            <w:pPr>
              <w:keepNext w:val="0"/>
              <w:keepLines w:val="0"/>
              <w:suppressLineNumbers w:val="0"/>
              <w:adjustRightInd w:val="0"/>
              <w:snapToGrid w:val="0"/>
              <w:spacing w:before="0" w:beforeAutospacing="0" w:after="0" w:afterAutospacing="0"/>
              <w:ind w:left="0" w:right="0"/>
              <w:jc w:val="center"/>
              <w:rPr>
                <w:szCs w:val="21"/>
              </w:rPr>
            </w:pPr>
            <w:r>
              <w:rPr>
                <w:szCs w:val="21"/>
              </w:rPr>
              <w:t>二级</w:t>
            </w:r>
          </w:p>
        </w:tc>
        <w:tc>
          <w:tcPr>
            <w:tcW w:w="1117" w:type="pct"/>
            <w:vAlign w:val="center"/>
          </w:tcPr>
          <w:p w14:paraId="4D732544">
            <w:pPr>
              <w:keepNext w:val="0"/>
              <w:keepLines w:val="0"/>
              <w:suppressLineNumbers w:val="0"/>
              <w:adjustRightInd w:val="0"/>
              <w:snapToGrid w:val="0"/>
              <w:spacing w:before="0" w:beforeAutospacing="0" w:after="0" w:afterAutospacing="0"/>
              <w:ind w:left="0" w:right="0"/>
              <w:jc w:val="center"/>
              <w:rPr>
                <w:szCs w:val="21"/>
              </w:rPr>
            </w:pPr>
            <w:r>
              <w:rPr>
                <w:szCs w:val="21"/>
              </w:rPr>
              <w:t>/</w:t>
            </w:r>
          </w:p>
        </w:tc>
        <w:tc>
          <w:tcPr>
            <w:tcW w:w="576" w:type="pct"/>
            <w:vAlign w:val="center"/>
          </w:tcPr>
          <w:p w14:paraId="43AC9B34">
            <w:pPr>
              <w:keepNext w:val="0"/>
              <w:keepLines w:val="0"/>
              <w:suppressLineNumbers w:val="0"/>
              <w:adjustRightInd w:val="0"/>
              <w:snapToGrid w:val="0"/>
              <w:spacing w:before="0" w:beforeAutospacing="0" w:after="0" w:afterAutospacing="0"/>
              <w:ind w:left="0" w:right="0"/>
              <w:jc w:val="center"/>
              <w:rPr>
                <w:szCs w:val="21"/>
              </w:rPr>
            </w:pPr>
            <w:r>
              <w:rPr>
                <w:szCs w:val="21"/>
              </w:rPr>
              <w:t>/</w:t>
            </w:r>
          </w:p>
        </w:tc>
      </w:tr>
    </w:tbl>
    <w:p w14:paraId="7BF8FD1A">
      <w:pPr>
        <w:snapToGrid w:val="0"/>
        <w:spacing w:line="360" w:lineRule="auto"/>
        <w:ind w:firstLine="480" w:firstLineChars="200"/>
        <w:rPr>
          <w:sz w:val="24"/>
        </w:rPr>
      </w:pPr>
      <w:r>
        <w:rPr>
          <w:sz w:val="24"/>
        </w:rPr>
        <w:t>经判定，本项目升压站电磁环境影响评价工作等级为二级，输电线路电磁环境影响评价工作等级为三级。</w:t>
      </w:r>
    </w:p>
    <w:p w14:paraId="3830FC51">
      <w:pPr>
        <w:snapToGrid w:val="0"/>
        <w:spacing w:line="360" w:lineRule="auto"/>
        <w:ind w:firstLine="480" w:firstLineChars="200"/>
        <w:rPr>
          <w:sz w:val="24"/>
        </w:rPr>
      </w:pPr>
      <w:r>
        <w:rPr>
          <w:sz w:val="24"/>
        </w:rPr>
        <w:t>（3）评价范围</w:t>
      </w:r>
    </w:p>
    <w:p w14:paraId="3A0B3F58">
      <w:pPr>
        <w:widowControl/>
        <w:spacing w:line="360" w:lineRule="auto"/>
        <w:ind w:firstLine="480" w:firstLineChars="200"/>
        <w:jc w:val="left"/>
        <w:rPr>
          <w:sz w:val="24"/>
        </w:rPr>
      </w:pPr>
      <w:r>
        <w:rPr>
          <w:sz w:val="24"/>
        </w:rPr>
        <w:t>根据《环境影响评价技术导则 输变电》(HJ 24-2020)，电压等级为220</w:t>
      </w:r>
      <w:r>
        <w:rPr>
          <w:rFonts w:hint="eastAsia"/>
          <w:sz w:val="24"/>
        </w:rPr>
        <w:t>kV</w:t>
      </w:r>
      <w:r>
        <w:rPr>
          <w:sz w:val="24"/>
        </w:rPr>
        <w:t>的输变电工程以升压站评价范围：站界外40m；220</w:t>
      </w:r>
      <w:r>
        <w:rPr>
          <w:rFonts w:hint="eastAsia"/>
          <w:sz w:val="24"/>
        </w:rPr>
        <w:t>kV</w:t>
      </w:r>
      <w:r>
        <w:rPr>
          <w:sz w:val="24"/>
        </w:rPr>
        <w:t>架空线路评价范围：边导线地面投影外两侧各40m范围区域内。</w:t>
      </w:r>
    </w:p>
    <w:p w14:paraId="23FE67BF">
      <w:pPr>
        <w:snapToGrid w:val="0"/>
        <w:spacing w:line="360" w:lineRule="auto"/>
        <w:ind w:firstLine="480" w:firstLineChars="200"/>
        <w:rPr>
          <w:sz w:val="24"/>
        </w:rPr>
      </w:pPr>
      <w:r>
        <w:rPr>
          <w:sz w:val="24"/>
        </w:rPr>
        <w:t>（4）评价方法</w:t>
      </w:r>
    </w:p>
    <w:p w14:paraId="4D373267">
      <w:pPr>
        <w:snapToGrid w:val="0"/>
        <w:spacing w:line="360" w:lineRule="auto"/>
        <w:ind w:firstLine="480" w:firstLineChars="200"/>
        <w:rPr>
          <w:sz w:val="24"/>
        </w:rPr>
      </w:pPr>
      <w:r>
        <w:rPr>
          <w:sz w:val="24"/>
        </w:rPr>
        <w:t>二级评价电磁环境影响预测方法为：类比监测法；三级评价电磁环境影响预测方法为：模式预测法。</w:t>
      </w:r>
    </w:p>
    <w:p w14:paraId="090A0C55">
      <w:pPr>
        <w:pStyle w:val="3"/>
        <w:rPr>
          <w:rFonts w:ascii="Times New Roman" w:hAnsi="Times New Roman" w:eastAsia="宋体"/>
          <w:sz w:val="24"/>
          <w:szCs w:val="24"/>
        </w:rPr>
      </w:pPr>
      <w:r>
        <w:rPr>
          <w:rFonts w:ascii="Times New Roman" w:hAnsi="Times New Roman" w:eastAsia="宋体"/>
          <w:sz w:val="24"/>
          <w:szCs w:val="24"/>
        </w:rPr>
        <w:t>1.5 评价标准</w:t>
      </w:r>
    </w:p>
    <w:p w14:paraId="2A4AE07C">
      <w:pPr>
        <w:adjustRightInd w:val="0"/>
        <w:snapToGrid w:val="0"/>
        <w:spacing w:line="360" w:lineRule="auto"/>
        <w:ind w:firstLine="480" w:firstLineChars="200"/>
        <w:rPr>
          <w:sz w:val="24"/>
        </w:rPr>
      </w:pPr>
      <w:r>
        <w:rPr>
          <w:sz w:val="24"/>
        </w:rPr>
        <w:t>根据《环境影响评价技术导则 输变电》(HJ 24-2020)，工频电场强度、工频磁感应强度应满足《电磁环境控制限值》 (GB8702-2014)的要求，具体见表1.5-1。</w:t>
      </w:r>
    </w:p>
    <w:p w14:paraId="0858E994">
      <w:pPr>
        <w:adjustRightInd w:val="0"/>
        <w:snapToGrid w:val="0"/>
        <w:ind w:firstLine="422" w:firstLineChars="200"/>
        <w:jc w:val="center"/>
        <w:rPr>
          <w:b/>
          <w:sz w:val="21"/>
          <w:szCs w:val="21"/>
        </w:rPr>
      </w:pPr>
      <w:r>
        <w:rPr>
          <w:b/>
          <w:sz w:val="21"/>
          <w:szCs w:val="21"/>
        </w:rPr>
        <w:t xml:space="preserve">表1.5-1 </w:t>
      </w:r>
      <w:r>
        <w:rPr>
          <w:rFonts w:hint="eastAsia"/>
          <w:b/>
          <w:sz w:val="21"/>
          <w:szCs w:val="21"/>
          <w:lang w:val="en-US" w:eastAsia="zh-CN"/>
        </w:rPr>
        <w:t xml:space="preserve"> </w:t>
      </w:r>
      <w:r>
        <w:rPr>
          <w:b/>
          <w:sz w:val="21"/>
          <w:szCs w:val="21"/>
        </w:rPr>
        <w:t xml:space="preserve"> 电磁环境控制限值</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231"/>
        <w:gridCol w:w="1938"/>
        <w:gridCol w:w="1498"/>
        <w:gridCol w:w="1687"/>
        <w:gridCol w:w="1168"/>
      </w:tblGrid>
      <w:tr w14:paraId="7633406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09" w:type="pct"/>
            <w:vAlign w:val="center"/>
          </w:tcPr>
          <w:p w14:paraId="518A76C6">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项目</w:t>
            </w:r>
          </w:p>
        </w:tc>
        <w:tc>
          <w:tcPr>
            <w:tcW w:w="1137" w:type="pct"/>
            <w:vAlign w:val="center"/>
          </w:tcPr>
          <w:p w14:paraId="432B9F7E">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频率范围</w:t>
            </w:r>
          </w:p>
        </w:tc>
        <w:tc>
          <w:tcPr>
            <w:tcW w:w="879" w:type="pct"/>
            <w:vAlign w:val="center"/>
          </w:tcPr>
          <w:p w14:paraId="0D28958E">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工频电场强度</w:t>
            </w:r>
          </w:p>
        </w:tc>
        <w:tc>
          <w:tcPr>
            <w:tcW w:w="990" w:type="pct"/>
            <w:vAlign w:val="center"/>
          </w:tcPr>
          <w:p w14:paraId="722D7CD2">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工频磁感应强度</w:t>
            </w:r>
          </w:p>
        </w:tc>
        <w:tc>
          <w:tcPr>
            <w:tcW w:w="685" w:type="pct"/>
            <w:vAlign w:val="center"/>
          </w:tcPr>
          <w:p w14:paraId="4C29CE9C">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备注</w:t>
            </w:r>
          </w:p>
        </w:tc>
      </w:tr>
      <w:tr w14:paraId="2748F18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09" w:type="pct"/>
            <w:vAlign w:val="center"/>
          </w:tcPr>
          <w:p w14:paraId="1E9F4BEF">
            <w:pPr>
              <w:keepNext w:val="0"/>
              <w:keepLines w:val="0"/>
              <w:suppressLineNumbers w:val="0"/>
              <w:adjustRightInd w:val="0"/>
              <w:snapToGrid w:val="0"/>
              <w:spacing w:before="0" w:beforeAutospacing="0" w:after="0" w:afterAutospacing="0"/>
              <w:ind w:left="0" w:right="0"/>
              <w:jc w:val="center"/>
              <w:rPr>
                <w:kern w:val="15"/>
                <w:szCs w:val="21"/>
              </w:rPr>
            </w:pPr>
            <w:r>
              <w:rPr>
                <w:szCs w:val="21"/>
              </w:rPr>
              <w:t>《电磁环境控制限值》(GB8702-2014)</w:t>
            </w:r>
          </w:p>
        </w:tc>
        <w:tc>
          <w:tcPr>
            <w:tcW w:w="1137" w:type="pct"/>
            <w:vAlign w:val="center"/>
          </w:tcPr>
          <w:p w14:paraId="04F51B83">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0.025kHz</w:t>
            </w:r>
            <w:r>
              <w:rPr>
                <w:rFonts w:hint="eastAsia"/>
                <w:kern w:val="15"/>
                <w:szCs w:val="21"/>
              </w:rPr>
              <w:t>~</w:t>
            </w:r>
            <w:r>
              <w:rPr>
                <w:kern w:val="15"/>
                <w:szCs w:val="21"/>
              </w:rPr>
              <w:t>1.2kHz</w:t>
            </w:r>
          </w:p>
        </w:tc>
        <w:tc>
          <w:tcPr>
            <w:tcW w:w="879" w:type="pct"/>
            <w:vAlign w:val="center"/>
          </w:tcPr>
          <w:p w14:paraId="52D671B9">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200/f</w:t>
            </w:r>
          </w:p>
        </w:tc>
        <w:tc>
          <w:tcPr>
            <w:tcW w:w="990" w:type="pct"/>
            <w:vAlign w:val="center"/>
          </w:tcPr>
          <w:p w14:paraId="369CCF39">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5/f</w:t>
            </w:r>
          </w:p>
        </w:tc>
        <w:tc>
          <w:tcPr>
            <w:tcW w:w="685" w:type="pct"/>
            <w:vAlign w:val="center"/>
          </w:tcPr>
          <w:p w14:paraId="583D0535">
            <w:pPr>
              <w:keepNext w:val="0"/>
              <w:keepLines w:val="0"/>
              <w:suppressLineNumbers w:val="0"/>
              <w:adjustRightInd w:val="0"/>
              <w:snapToGrid w:val="0"/>
              <w:spacing w:before="0" w:beforeAutospacing="0" w:after="0" w:afterAutospacing="0"/>
              <w:ind w:left="0" w:right="0"/>
              <w:jc w:val="center"/>
              <w:rPr>
                <w:kern w:val="15"/>
                <w:szCs w:val="21"/>
              </w:rPr>
            </w:pPr>
            <w:r>
              <w:rPr>
                <w:kern w:val="15"/>
                <w:szCs w:val="21"/>
              </w:rPr>
              <w:t>f代表频率</w:t>
            </w:r>
          </w:p>
        </w:tc>
      </w:tr>
      <w:tr w14:paraId="5FFA9B2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09" w:type="pct"/>
            <w:vAlign w:val="center"/>
          </w:tcPr>
          <w:p w14:paraId="02B138FE">
            <w:pPr>
              <w:keepNext w:val="0"/>
              <w:keepLines w:val="0"/>
              <w:suppressLineNumbers w:val="0"/>
              <w:spacing w:before="0" w:beforeAutospacing="0" w:after="0" w:afterAutospacing="0" w:line="276" w:lineRule="auto"/>
              <w:ind w:left="0" w:right="0"/>
              <w:jc w:val="center"/>
              <w:rPr>
                <w:kern w:val="15"/>
                <w:szCs w:val="21"/>
              </w:rPr>
            </w:pPr>
            <w:r>
              <w:rPr>
                <w:kern w:val="15"/>
                <w:szCs w:val="21"/>
              </w:rPr>
              <w:t>交流输变电工程</w:t>
            </w:r>
          </w:p>
        </w:tc>
        <w:tc>
          <w:tcPr>
            <w:tcW w:w="1137" w:type="pct"/>
            <w:vAlign w:val="center"/>
          </w:tcPr>
          <w:p w14:paraId="00DF44A5">
            <w:pPr>
              <w:keepNext w:val="0"/>
              <w:keepLines w:val="0"/>
              <w:suppressLineNumbers w:val="0"/>
              <w:spacing w:before="0" w:beforeAutospacing="0" w:after="0" w:afterAutospacing="0" w:line="276" w:lineRule="auto"/>
              <w:ind w:left="0" w:right="0"/>
              <w:jc w:val="center"/>
              <w:rPr>
                <w:kern w:val="15"/>
                <w:szCs w:val="21"/>
              </w:rPr>
            </w:pPr>
            <w:r>
              <w:rPr>
                <w:kern w:val="15"/>
                <w:szCs w:val="21"/>
              </w:rPr>
              <w:t>0.05kHz（50Hz）</w:t>
            </w:r>
          </w:p>
        </w:tc>
        <w:tc>
          <w:tcPr>
            <w:tcW w:w="879" w:type="pct"/>
            <w:vAlign w:val="center"/>
          </w:tcPr>
          <w:p w14:paraId="26D89BC1">
            <w:pPr>
              <w:keepNext w:val="0"/>
              <w:keepLines w:val="0"/>
              <w:suppressLineNumbers w:val="0"/>
              <w:spacing w:before="0" w:beforeAutospacing="0" w:after="0" w:afterAutospacing="0" w:line="276" w:lineRule="auto"/>
              <w:ind w:left="0" w:right="0"/>
              <w:jc w:val="center"/>
              <w:rPr>
                <w:kern w:val="15"/>
                <w:szCs w:val="21"/>
              </w:rPr>
            </w:pPr>
            <w:r>
              <w:rPr>
                <w:kern w:val="15"/>
                <w:szCs w:val="21"/>
              </w:rPr>
              <w:t>4000V/m</w:t>
            </w:r>
          </w:p>
        </w:tc>
        <w:tc>
          <w:tcPr>
            <w:tcW w:w="990" w:type="pct"/>
            <w:vAlign w:val="center"/>
          </w:tcPr>
          <w:p w14:paraId="5F1EBDB2">
            <w:pPr>
              <w:keepNext w:val="0"/>
              <w:keepLines w:val="0"/>
              <w:suppressLineNumbers w:val="0"/>
              <w:spacing w:before="0" w:beforeAutospacing="0" w:after="0" w:afterAutospacing="0" w:line="276" w:lineRule="auto"/>
              <w:ind w:left="0" w:right="0"/>
              <w:jc w:val="center"/>
              <w:rPr>
                <w:kern w:val="15"/>
                <w:szCs w:val="21"/>
              </w:rPr>
            </w:pPr>
            <w:r>
              <w:rPr>
                <w:kern w:val="15"/>
                <w:szCs w:val="21"/>
              </w:rPr>
              <w:t>100μT</w:t>
            </w:r>
          </w:p>
        </w:tc>
        <w:tc>
          <w:tcPr>
            <w:tcW w:w="685" w:type="pct"/>
            <w:vAlign w:val="center"/>
          </w:tcPr>
          <w:p w14:paraId="4DA19399">
            <w:pPr>
              <w:keepNext w:val="0"/>
              <w:keepLines w:val="0"/>
              <w:suppressLineNumbers w:val="0"/>
              <w:spacing w:before="0" w:beforeAutospacing="0" w:after="0" w:afterAutospacing="0" w:line="276" w:lineRule="auto"/>
              <w:ind w:left="0" w:right="0"/>
              <w:jc w:val="center"/>
              <w:rPr>
                <w:kern w:val="15"/>
                <w:szCs w:val="21"/>
              </w:rPr>
            </w:pPr>
            <w:r>
              <w:rPr>
                <w:kern w:val="15"/>
                <w:szCs w:val="21"/>
              </w:rPr>
              <w:t>——</w:t>
            </w:r>
          </w:p>
        </w:tc>
      </w:tr>
    </w:tbl>
    <w:p w14:paraId="4826902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sz w:val="24"/>
        </w:rPr>
      </w:pPr>
      <w:r>
        <w:rPr>
          <w:sz w:val="24"/>
        </w:rPr>
        <w:t>架空输电线路线下的耕地、园地、牧草地、畜禽饲养地、养殖水面、道路等场所，其频率50Hz的电场强度控制限值为10</w:t>
      </w:r>
      <w:r>
        <w:rPr>
          <w:rFonts w:hint="eastAsia"/>
          <w:sz w:val="24"/>
        </w:rPr>
        <w:t>kV</w:t>
      </w:r>
      <w:r>
        <w:rPr>
          <w:sz w:val="24"/>
        </w:rPr>
        <w:t>/m，且应给出警示和防护指示标志。</w:t>
      </w:r>
    </w:p>
    <w:p w14:paraId="7FBA3014">
      <w:pPr>
        <w:pStyle w:val="3"/>
        <w:rPr>
          <w:rFonts w:ascii="Times New Roman" w:hAnsi="Times New Roman" w:eastAsia="宋体"/>
          <w:sz w:val="24"/>
          <w:szCs w:val="24"/>
        </w:rPr>
      </w:pPr>
      <w:r>
        <w:rPr>
          <w:rFonts w:ascii="Times New Roman" w:hAnsi="Times New Roman" w:eastAsia="宋体"/>
          <w:sz w:val="24"/>
          <w:szCs w:val="24"/>
        </w:rPr>
        <w:t>1.6 环境保护目标</w:t>
      </w:r>
    </w:p>
    <w:p w14:paraId="181DD8FA">
      <w:pPr>
        <w:autoSpaceDE w:val="0"/>
        <w:autoSpaceDN w:val="0"/>
        <w:adjustRightInd w:val="0"/>
        <w:snapToGrid w:val="0"/>
        <w:spacing w:line="490" w:lineRule="exact"/>
        <w:ind w:firstLine="480" w:firstLineChars="200"/>
        <w:rPr>
          <w:sz w:val="24"/>
          <w:lang w:val="zh-CN"/>
        </w:rPr>
      </w:pPr>
      <w:r>
        <w:rPr>
          <w:sz w:val="24"/>
          <w:lang w:val="zh-CN"/>
        </w:rPr>
        <w:t>根据《建设项目环境影响评价分类管理目录》，输变电类项目环境敏感目标为：</w:t>
      </w:r>
    </w:p>
    <w:p w14:paraId="09BCB6E1">
      <w:pPr>
        <w:autoSpaceDE w:val="0"/>
        <w:autoSpaceDN w:val="0"/>
        <w:adjustRightInd w:val="0"/>
        <w:snapToGrid w:val="0"/>
        <w:spacing w:line="490" w:lineRule="exact"/>
        <w:ind w:firstLine="480" w:firstLineChars="200"/>
        <w:rPr>
          <w:sz w:val="24"/>
          <w:lang w:val="zh-CN"/>
        </w:rPr>
      </w:pPr>
      <w:r>
        <w:rPr>
          <w:sz w:val="24"/>
          <w:lang w:val="zh-CN"/>
        </w:rPr>
        <w:t>（一）自然保护区、风景名胜区、世界文化和自然遗产地、海洋特别保护区、饮用水水源保护区；</w:t>
      </w:r>
    </w:p>
    <w:p w14:paraId="7F584CE8">
      <w:pPr>
        <w:autoSpaceDE w:val="0"/>
        <w:autoSpaceDN w:val="0"/>
        <w:adjustRightInd w:val="0"/>
        <w:snapToGrid w:val="0"/>
        <w:spacing w:line="490" w:lineRule="exact"/>
        <w:ind w:firstLine="480" w:firstLineChars="200"/>
        <w:rPr>
          <w:sz w:val="24"/>
          <w:lang w:val="zh-CN"/>
        </w:rPr>
      </w:pPr>
      <w:r>
        <w:rPr>
          <w:sz w:val="24"/>
          <w:lang w:val="zh-CN"/>
        </w:rPr>
        <w:t>（三）以居住、医疗卫生、文化教育、科研、行政办公等为主要功能的区域。</w:t>
      </w:r>
    </w:p>
    <w:p w14:paraId="077FE618">
      <w:pPr>
        <w:autoSpaceDE w:val="0"/>
        <w:autoSpaceDN w:val="0"/>
        <w:adjustRightInd w:val="0"/>
        <w:snapToGrid w:val="0"/>
        <w:spacing w:line="490" w:lineRule="exact"/>
        <w:ind w:firstLine="480" w:firstLineChars="200"/>
        <w:rPr>
          <w:sz w:val="24"/>
          <w:lang w:val="zh-CN"/>
        </w:rPr>
      </w:pPr>
      <w:r>
        <w:rPr>
          <w:sz w:val="24"/>
          <w:lang w:val="zh-CN"/>
        </w:rPr>
        <w:t>根据《环境影响评价技术导则 输变电》(HJ24-2020)，电磁环境敏感目标是指电磁环境影响评价需重点关注的对象。包括住宅、学校、医院、办公楼、工厂等有公众居住、工作或学习的建筑物。</w:t>
      </w:r>
    </w:p>
    <w:p w14:paraId="68D06DE7">
      <w:pPr>
        <w:autoSpaceDE w:val="0"/>
        <w:autoSpaceDN w:val="0"/>
        <w:snapToGrid w:val="0"/>
        <w:spacing w:line="490" w:lineRule="exact"/>
        <w:ind w:firstLine="480" w:firstLineChars="200"/>
        <w:rPr>
          <w:sz w:val="24"/>
          <w:lang w:val="zh-CN"/>
        </w:rPr>
      </w:pPr>
      <w:r>
        <w:rPr>
          <w:sz w:val="24"/>
          <w:lang w:val="zh-CN"/>
        </w:rPr>
        <w:t>根据现场踏勘情况，建设项目评价范围不涉及上述环境敏感目标。</w:t>
      </w:r>
    </w:p>
    <w:p w14:paraId="0FE203D2">
      <w:pPr>
        <w:pStyle w:val="2"/>
        <w:rPr>
          <w:rFonts w:eastAsia="宋体"/>
          <w:color w:val="auto"/>
        </w:rPr>
      </w:pPr>
      <w:r>
        <w:rPr>
          <w:rFonts w:eastAsia="宋体"/>
          <w:color w:val="auto"/>
        </w:rPr>
        <w:t>2</w:t>
      </w:r>
      <w:r>
        <w:rPr>
          <w:rFonts w:hint="eastAsia" w:eastAsia="宋体"/>
          <w:color w:val="auto"/>
        </w:rPr>
        <w:t>、</w:t>
      </w:r>
      <w:r>
        <w:rPr>
          <w:rFonts w:eastAsia="宋体"/>
          <w:color w:val="auto"/>
        </w:rPr>
        <w:t>电磁环境现状监测与评价</w:t>
      </w:r>
    </w:p>
    <w:p w14:paraId="42040066">
      <w:pPr>
        <w:pStyle w:val="3"/>
        <w:rPr>
          <w:rFonts w:ascii="Times New Roman" w:hAnsi="Times New Roman" w:eastAsia="宋体"/>
          <w:sz w:val="24"/>
          <w:szCs w:val="24"/>
        </w:rPr>
      </w:pPr>
      <w:r>
        <w:rPr>
          <w:rFonts w:ascii="Times New Roman" w:hAnsi="Times New Roman" w:eastAsia="宋体"/>
          <w:sz w:val="24"/>
          <w:szCs w:val="24"/>
        </w:rPr>
        <w:t>2.1 监测因子</w:t>
      </w:r>
    </w:p>
    <w:p w14:paraId="4DA53297">
      <w:pPr>
        <w:snapToGrid w:val="0"/>
        <w:spacing w:line="360" w:lineRule="auto"/>
        <w:ind w:firstLine="480" w:firstLineChars="200"/>
        <w:rPr>
          <w:sz w:val="24"/>
        </w:rPr>
      </w:pPr>
      <w:r>
        <w:rPr>
          <w:sz w:val="24"/>
        </w:rPr>
        <w:t>工频电场强度、工频磁感应强度。</w:t>
      </w:r>
    </w:p>
    <w:p w14:paraId="42E9A038">
      <w:pPr>
        <w:pStyle w:val="3"/>
        <w:rPr>
          <w:rFonts w:ascii="Times New Roman" w:hAnsi="Times New Roman" w:eastAsia="宋体"/>
          <w:sz w:val="24"/>
          <w:szCs w:val="24"/>
        </w:rPr>
      </w:pPr>
      <w:r>
        <w:rPr>
          <w:rFonts w:ascii="Times New Roman" w:hAnsi="Times New Roman" w:eastAsia="宋体"/>
          <w:sz w:val="24"/>
          <w:szCs w:val="24"/>
        </w:rPr>
        <w:t>2.2 监测方法及布点</w:t>
      </w:r>
    </w:p>
    <w:p w14:paraId="1519A21A">
      <w:pPr>
        <w:snapToGrid w:val="0"/>
        <w:spacing w:line="360" w:lineRule="auto"/>
        <w:ind w:firstLine="480" w:firstLineChars="200"/>
        <w:rPr>
          <w:sz w:val="24"/>
        </w:rPr>
      </w:pPr>
      <w:r>
        <w:rPr>
          <w:sz w:val="24"/>
        </w:rPr>
        <w:t>根据《环境影响评价技术导则 输变电》(HJ 24-2020)的要求，本次评价在升压站四周和中心、输电线路起始点、中间点、220</w:t>
      </w:r>
      <w:r>
        <w:rPr>
          <w:rFonts w:hint="eastAsia"/>
          <w:sz w:val="24"/>
        </w:rPr>
        <w:t>kV</w:t>
      </w:r>
      <w:r>
        <w:rPr>
          <w:sz w:val="24"/>
        </w:rPr>
        <w:t>库米什扩建间隔均布置了监测点位</w:t>
      </w:r>
      <w:r>
        <w:rPr>
          <w:color w:val="000000" w:themeColor="text1"/>
          <w:sz w:val="24"/>
        </w:rPr>
        <w:t>，共计</w:t>
      </w:r>
      <w:r>
        <w:rPr>
          <w:rFonts w:hint="eastAsia"/>
          <w:color w:val="000000" w:themeColor="text1"/>
          <w:sz w:val="24"/>
          <w:lang w:val="en-US" w:eastAsia="zh-CN"/>
        </w:rPr>
        <w:t>13</w:t>
      </w:r>
      <w:r>
        <w:rPr>
          <w:color w:val="000000" w:themeColor="text1"/>
          <w:sz w:val="24"/>
        </w:rPr>
        <w:t>个工</w:t>
      </w:r>
      <w:r>
        <w:rPr>
          <w:sz w:val="24"/>
        </w:rPr>
        <w:t>频电场强度、工频磁感应强度监测点位，距地面1.5m处。</w:t>
      </w:r>
    </w:p>
    <w:p w14:paraId="682F4072">
      <w:pPr>
        <w:pStyle w:val="3"/>
        <w:rPr>
          <w:rFonts w:ascii="Times New Roman" w:hAnsi="Times New Roman" w:eastAsia="宋体"/>
          <w:sz w:val="24"/>
          <w:szCs w:val="24"/>
        </w:rPr>
      </w:pPr>
      <w:r>
        <w:rPr>
          <w:rFonts w:ascii="Times New Roman" w:hAnsi="Times New Roman" w:eastAsia="宋体"/>
          <w:sz w:val="24"/>
          <w:szCs w:val="24"/>
        </w:rPr>
        <w:t>2.3 监测单位及监测时间</w:t>
      </w:r>
    </w:p>
    <w:p w14:paraId="75492484">
      <w:pPr>
        <w:snapToGrid w:val="0"/>
        <w:spacing w:line="360" w:lineRule="auto"/>
        <w:ind w:firstLine="480" w:firstLineChars="200"/>
        <w:rPr>
          <w:sz w:val="24"/>
        </w:rPr>
      </w:pPr>
      <w:r>
        <w:rPr>
          <w:sz w:val="24"/>
        </w:rPr>
        <w:t>监测单位：新疆锡水金山环境科技有限公司。</w:t>
      </w:r>
    </w:p>
    <w:p w14:paraId="1F06B6FF">
      <w:pPr>
        <w:snapToGrid w:val="0"/>
        <w:spacing w:line="360" w:lineRule="auto"/>
        <w:ind w:firstLine="480" w:firstLineChars="200"/>
        <w:rPr>
          <w:sz w:val="24"/>
        </w:rPr>
      </w:pPr>
      <w:r>
        <w:rPr>
          <w:sz w:val="24"/>
        </w:rPr>
        <w:t>监测时间：2024年9月19日</w:t>
      </w:r>
    </w:p>
    <w:p w14:paraId="6B371894">
      <w:pPr>
        <w:snapToGrid w:val="0"/>
        <w:spacing w:line="360" w:lineRule="auto"/>
        <w:ind w:firstLine="480" w:firstLineChars="200"/>
        <w:rPr>
          <w:rFonts w:hint="default" w:eastAsia="宋体"/>
          <w:sz w:val="24"/>
          <w:lang w:val="en-US" w:eastAsia="zh-CN"/>
        </w:rPr>
      </w:pPr>
      <w:r>
        <w:rPr>
          <w:rFonts w:hint="eastAsia"/>
          <w:sz w:val="24"/>
          <w:lang w:val="en-US" w:eastAsia="zh-CN"/>
        </w:rPr>
        <w:t xml:space="preserve">          2025年4月5日。</w:t>
      </w:r>
    </w:p>
    <w:p w14:paraId="025B02B1">
      <w:pPr>
        <w:pStyle w:val="3"/>
        <w:rPr>
          <w:rFonts w:ascii="Times New Roman" w:hAnsi="Times New Roman" w:eastAsia="宋体"/>
          <w:sz w:val="24"/>
          <w:szCs w:val="24"/>
        </w:rPr>
      </w:pPr>
      <w:r>
        <w:rPr>
          <w:rFonts w:ascii="Times New Roman" w:hAnsi="Times New Roman" w:eastAsia="宋体"/>
          <w:sz w:val="24"/>
          <w:szCs w:val="24"/>
        </w:rPr>
        <w:t>2.4 监测仪器、监测条件</w:t>
      </w:r>
    </w:p>
    <w:p w14:paraId="2EBA709A">
      <w:pPr>
        <w:snapToGrid w:val="0"/>
        <w:spacing w:line="360" w:lineRule="auto"/>
        <w:ind w:firstLine="420" w:firstLineChars="200"/>
        <w:rPr>
          <w:sz w:val="24"/>
        </w:rPr>
      </w:pPr>
      <w:r>
        <w:t>监测仪器参数，见表2.4-1。</w:t>
      </w:r>
    </w:p>
    <w:p w14:paraId="1F938DD7">
      <w:pPr>
        <w:adjustRightInd w:val="0"/>
        <w:snapToGrid w:val="0"/>
        <w:ind w:left="359" w:leftChars="171" w:firstLine="211" w:firstLineChars="100"/>
        <w:jc w:val="center"/>
        <w:rPr>
          <w:b/>
          <w:sz w:val="21"/>
          <w:szCs w:val="21"/>
          <w:highlight w:val="none"/>
        </w:rPr>
      </w:pPr>
      <w:r>
        <w:rPr>
          <w:b/>
          <w:sz w:val="21"/>
          <w:szCs w:val="21"/>
          <w:highlight w:val="none"/>
        </w:rPr>
        <w:t xml:space="preserve">表2.4-1 </w:t>
      </w:r>
      <w:r>
        <w:rPr>
          <w:rFonts w:hint="eastAsia"/>
          <w:b/>
          <w:sz w:val="21"/>
          <w:szCs w:val="21"/>
          <w:highlight w:val="none"/>
          <w:lang w:val="en-US" w:eastAsia="zh-CN"/>
        </w:rPr>
        <w:t xml:space="preserve"> </w:t>
      </w:r>
      <w:r>
        <w:rPr>
          <w:b/>
          <w:sz w:val="21"/>
          <w:szCs w:val="21"/>
          <w:highlight w:val="none"/>
        </w:rPr>
        <w:t xml:space="preserve"> </w:t>
      </w:r>
      <w:r>
        <w:rPr>
          <w:b/>
          <w:snapToGrid w:val="0"/>
          <w:sz w:val="21"/>
          <w:szCs w:val="21"/>
          <w:highlight w:val="none"/>
        </w:rPr>
        <w:t>监测仪器参数</w:t>
      </w:r>
      <w:r>
        <w:rPr>
          <w:b/>
          <w:sz w:val="21"/>
          <w:szCs w:val="21"/>
          <w:highlight w:val="none"/>
        </w:rPr>
        <w:t>表</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1490"/>
        <w:gridCol w:w="2432"/>
        <w:gridCol w:w="4390"/>
      </w:tblGrid>
      <w:tr w14:paraId="3968E9B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13" w:hRule="atLeast"/>
          <w:jc w:val="center"/>
        </w:trPr>
        <w:tc>
          <w:tcPr>
            <w:tcW w:w="896" w:type="pct"/>
            <w:tcMar>
              <w:left w:w="0" w:type="dxa"/>
              <w:right w:w="0" w:type="dxa"/>
            </w:tcMar>
            <w:vAlign w:val="center"/>
          </w:tcPr>
          <w:p w14:paraId="0086ECC5">
            <w:pPr>
              <w:keepNext w:val="0"/>
              <w:keepLines w:val="0"/>
              <w:suppressLineNumbers w:val="0"/>
              <w:spacing w:before="0" w:beforeAutospacing="0" w:after="0" w:afterAutospacing="0"/>
              <w:ind w:left="0" w:right="0"/>
              <w:jc w:val="center"/>
              <w:rPr>
                <w:szCs w:val="21"/>
              </w:rPr>
            </w:pPr>
            <w:r>
              <w:rPr>
                <w:szCs w:val="21"/>
              </w:rPr>
              <w:t>序号</w:t>
            </w:r>
          </w:p>
        </w:tc>
        <w:tc>
          <w:tcPr>
            <w:tcW w:w="1463" w:type="pct"/>
            <w:tcMar>
              <w:left w:w="0" w:type="dxa"/>
              <w:right w:w="0" w:type="dxa"/>
            </w:tcMar>
            <w:vAlign w:val="center"/>
          </w:tcPr>
          <w:p w14:paraId="49BFF149">
            <w:pPr>
              <w:keepNext w:val="0"/>
              <w:keepLines w:val="0"/>
              <w:suppressLineNumbers w:val="0"/>
              <w:spacing w:before="0" w:beforeAutospacing="0" w:after="0" w:afterAutospacing="0"/>
              <w:ind w:left="0" w:right="0"/>
              <w:jc w:val="center"/>
              <w:rPr>
                <w:szCs w:val="21"/>
              </w:rPr>
            </w:pPr>
            <w:r>
              <w:rPr>
                <w:szCs w:val="21"/>
              </w:rPr>
              <w:t>监测项目</w:t>
            </w:r>
          </w:p>
        </w:tc>
        <w:tc>
          <w:tcPr>
            <w:tcW w:w="2641" w:type="pct"/>
            <w:tcMar>
              <w:left w:w="0" w:type="dxa"/>
              <w:right w:w="0" w:type="dxa"/>
            </w:tcMar>
            <w:vAlign w:val="center"/>
          </w:tcPr>
          <w:p w14:paraId="36F6B944">
            <w:pPr>
              <w:keepNext w:val="0"/>
              <w:keepLines w:val="0"/>
              <w:suppressLineNumbers w:val="0"/>
              <w:spacing w:before="0" w:beforeAutospacing="0" w:after="0" w:afterAutospacing="0"/>
              <w:ind w:left="0" w:right="0"/>
              <w:jc w:val="center"/>
              <w:rPr>
                <w:szCs w:val="21"/>
              </w:rPr>
            </w:pPr>
            <w:r>
              <w:rPr>
                <w:szCs w:val="21"/>
              </w:rPr>
              <w:t>设备名称</w:t>
            </w:r>
          </w:p>
        </w:tc>
      </w:tr>
      <w:tr w14:paraId="379215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51" w:hRule="atLeast"/>
          <w:jc w:val="center"/>
        </w:trPr>
        <w:tc>
          <w:tcPr>
            <w:tcW w:w="896" w:type="pct"/>
            <w:tcBorders>
              <w:bottom w:val="single" w:color="auto" w:sz="4" w:space="0"/>
            </w:tcBorders>
            <w:tcMar>
              <w:left w:w="0" w:type="dxa"/>
              <w:right w:w="0" w:type="dxa"/>
            </w:tcMar>
            <w:vAlign w:val="center"/>
          </w:tcPr>
          <w:p w14:paraId="33F1BC90">
            <w:pPr>
              <w:keepNext w:val="0"/>
              <w:keepLines w:val="0"/>
              <w:suppressLineNumbers w:val="0"/>
              <w:spacing w:before="0" w:beforeAutospacing="0" w:after="0" w:afterAutospacing="0"/>
              <w:ind w:left="0" w:right="0"/>
              <w:jc w:val="center"/>
              <w:rPr>
                <w:szCs w:val="21"/>
              </w:rPr>
            </w:pPr>
            <w:r>
              <w:rPr>
                <w:szCs w:val="21"/>
              </w:rPr>
              <w:t>1</w:t>
            </w:r>
          </w:p>
        </w:tc>
        <w:tc>
          <w:tcPr>
            <w:tcW w:w="1463" w:type="pct"/>
            <w:tcMar>
              <w:left w:w="0" w:type="dxa"/>
              <w:right w:w="0" w:type="dxa"/>
            </w:tcMar>
            <w:vAlign w:val="center"/>
          </w:tcPr>
          <w:p w14:paraId="56B8085F">
            <w:pPr>
              <w:keepNext w:val="0"/>
              <w:keepLines w:val="0"/>
              <w:suppressLineNumbers w:val="0"/>
              <w:spacing w:before="0" w:beforeAutospacing="0" w:after="0" w:afterAutospacing="0"/>
              <w:ind w:left="0" w:right="0"/>
              <w:jc w:val="center"/>
              <w:rPr>
                <w:szCs w:val="21"/>
              </w:rPr>
            </w:pPr>
            <w:r>
              <w:rPr>
                <w:szCs w:val="21"/>
              </w:rPr>
              <w:t>工频电场强度</w:t>
            </w:r>
          </w:p>
        </w:tc>
        <w:tc>
          <w:tcPr>
            <w:tcW w:w="2641" w:type="pct"/>
            <w:vMerge w:val="restart"/>
            <w:tcMar>
              <w:left w:w="0" w:type="dxa"/>
              <w:right w:w="0" w:type="dxa"/>
            </w:tcMar>
            <w:vAlign w:val="center"/>
          </w:tcPr>
          <w:p w14:paraId="729CC812">
            <w:pPr>
              <w:keepNext w:val="0"/>
              <w:keepLines w:val="0"/>
              <w:suppressLineNumbers w:val="0"/>
              <w:spacing w:before="0" w:beforeAutospacing="0" w:after="0" w:afterAutospacing="0"/>
              <w:ind w:left="0" w:right="0"/>
              <w:jc w:val="center"/>
              <w:rPr>
                <w:szCs w:val="21"/>
              </w:rPr>
            </w:pPr>
            <w:r>
              <w:rPr>
                <w:szCs w:val="21"/>
              </w:rPr>
              <w:t>SYET-550L型电磁辐射分析仪</w:t>
            </w:r>
          </w:p>
        </w:tc>
      </w:tr>
      <w:tr w14:paraId="0463F97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896" w:type="pct"/>
            <w:tcBorders>
              <w:top w:val="single" w:color="auto" w:sz="4" w:space="0"/>
            </w:tcBorders>
            <w:tcMar>
              <w:left w:w="0" w:type="dxa"/>
              <w:right w:w="0" w:type="dxa"/>
            </w:tcMar>
            <w:vAlign w:val="center"/>
          </w:tcPr>
          <w:p w14:paraId="32990A05">
            <w:pPr>
              <w:keepNext w:val="0"/>
              <w:keepLines w:val="0"/>
              <w:suppressLineNumbers w:val="0"/>
              <w:spacing w:before="0" w:beforeAutospacing="0" w:after="0" w:afterAutospacing="0"/>
              <w:ind w:left="0" w:right="0"/>
              <w:jc w:val="center"/>
              <w:rPr>
                <w:szCs w:val="21"/>
              </w:rPr>
            </w:pPr>
            <w:r>
              <w:rPr>
                <w:szCs w:val="21"/>
              </w:rPr>
              <w:t>2</w:t>
            </w:r>
          </w:p>
        </w:tc>
        <w:tc>
          <w:tcPr>
            <w:tcW w:w="1463" w:type="pct"/>
            <w:tcMar>
              <w:left w:w="0" w:type="dxa"/>
              <w:right w:w="0" w:type="dxa"/>
            </w:tcMar>
            <w:vAlign w:val="center"/>
          </w:tcPr>
          <w:p w14:paraId="147632CD">
            <w:pPr>
              <w:keepNext w:val="0"/>
              <w:keepLines w:val="0"/>
              <w:suppressLineNumbers w:val="0"/>
              <w:spacing w:before="0" w:beforeAutospacing="0" w:after="0" w:afterAutospacing="0"/>
              <w:ind w:left="0" w:right="0"/>
              <w:jc w:val="center"/>
              <w:rPr>
                <w:szCs w:val="21"/>
              </w:rPr>
            </w:pPr>
            <w:r>
              <w:rPr>
                <w:szCs w:val="21"/>
              </w:rPr>
              <w:t>工频磁感应强度</w:t>
            </w:r>
          </w:p>
        </w:tc>
        <w:tc>
          <w:tcPr>
            <w:tcW w:w="2641" w:type="pct"/>
            <w:vMerge w:val="continue"/>
            <w:tcMar>
              <w:left w:w="0" w:type="dxa"/>
              <w:right w:w="0" w:type="dxa"/>
            </w:tcMar>
            <w:vAlign w:val="center"/>
          </w:tcPr>
          <w:p w14:paraId="22EA5FDA">
            <w:pPr>
              <w:keepNext w:val="0"/>
              <w:keepLines w:val="0"/>
              <w:suppressLineNumbers w:val="0"/>
              <w:spacing w:before="0" w:beforeAutospacing="0" w:after="0" w:afterAutospacing="0"/>
              <w:ind w:left="0" w:right="0"/>
              <w:jc w:val="center"/>
              <w:rPr>
                <w:szCs w:val="21"/>
              </w:rPr>
            </w:pPr>
          </w:p>
        </w:tc>
      </w:tr>
    </w:tbl>
    <w:p w14:paraId="71ADD4C7">
      <w:pPr>
        <w:snapToGrid w:val="0"/>
        <w:spacing w:line="360" w:lineRule="auto"/>
        <w:ind w:firstLine="420" w:firstLineChars="200"/>
      </w:pPr>
      <w:r>
        <w:t>监测条件：天气晴、相对湿度25%、温度31.3℃。</w:t>
      </w:r>
    </w:p>
    <w:p w14:paraId="327CF426">
      <w:pPr>
        <w:pStyle w:val="3"/>
        <w:rPr>
          <w:rFonts w:ascii="Times New Roman" w:hAnsi="Times New Roman" w:eastAsia="宋体"/>
          <w:sz w:val="24"/>
          <w:szCs w:val="24"/>
        </w:rPr>
      </w:pPr>
      <w:r>
        <w:rPr>
          <w:rFonts w:ascii="Times New Roman" w:hAnsi="Times New Roman" w:eastAsia="宋体"/>
          <w:sz w:val="24"/>
          <w:szCs w:val="24"/>
        </w:rPr>
        <w:t>2.5 监测结果</w:t>
      </w:r>
    </w:p>
    <w:p w14:paraId="6117E8A8">
      <w:pPr>
        <w:snapToGrid w:val="0"/>
        <w:spacing w:line="360" w:lineRule="auto"/>
        <w:ind w:firstLine="480" w:firstLineChars="200"/>
        <w:rPr>
          <w:sz w:val="24"/>
        </w:rPr>
      </w:pPr>
      <w:r>
        <w:rPr>
          <w:sz w:val="24"/>
        </w:rPr>
        <w:t>监测结果，见表2.5-1。</w:t>
      </w:r>
    </w:p>
    <w:p w14:paraId="3A35812E">
      <w:pPr>
        <w:autoSpaceDE w:val="0"/>
        <w:autoSpaceDN w:val="0"/>
        <w:adjustRightInd w:val="0"/>
        <w:snapToGrid w:val="0"/>
        <w:ind w:firstLine="207" w:firstLineChars="98"/>
        <w:jc w:val="center"/>
        <w:rPr>
          <w:b/>
          <w:bCs/>
          <w:sz w:val="21"/>
          <w:szCs w:val="21"/>
          <w:highlight w:val="none"/>
        </w:rPr>
      </w:pPr>
      <w:r>
        <w:rPr>
          <w:b/>
          <w:sz w:val="21"/>
          <w:szCs w:val="21"/>
          <w:highlight w:val="none"/>
        </w:rPr>
        <w:t>表2.5-1</w:t>
      </w:r>
      <w:r>
        <w:rPr>
          <w:rFonts w:hint="eastAsia"/>
          <w:b/>
          <w:sz w:val="21"/>
          <w:szCs w:val="21"/>
          <w:highlight w:val="none"/>
          <w:lang w:val="en-US" w:eastAsia="zh-CN"/>
        </w:rPr>
        <w:t xml:space="preserve"> </w:t>
      </w:r>
      <w:r>
        <w:rPr>
          <w:sz w:val="21"/>
          <w:szCs w:val="21"/>
          <w:highlight w:val="none"/>
        </w:rPr>
        <w:t xml:space="preserve">  </w:t>
      </w:r>
      <w:r>
        <w:rPr>
          <w:b/>
          <w:bCs/>
          <w:sz w:val="21"/>
          <w:szCs w:val="21"/>
          <w:highlight w:val="none"/>
        </w:rPr>
        <w:t>电磁环境现状监测结果</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973"/>
        <w:gridCol w:w="2290"/>
        <w:gridCol w:w="2246"/>
      </w:tblGrid>
      <w:tr w14:paraId="588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87" w:type="pct"/>
            <w:gridSpan w:val="2"/>
            <w:tcMar>
              <w:left w:w="28" w:type="dxa"/>
              <w:right w:w="28" w:type="dxa"/>
            </w:tcMar>
            <w:vAlign w:val="center"/>
          </w:tcPr>
          <w:p w14:paraId="552DF57E">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监测点位</w:t>
            </w:r>
          </w:p>
        </w:tc>
        <w:tc>
          <w:tcPr>
            <w:tcW w:w="1369" w:type="pct"/>
            <w:tcMar>
              <w:left w:w="28" w:type="dxa"/>
              <w:right w:w="28" w:type="dxa"/>
            </w:tcMar>
            <w:vAlign w:val="center"/>
          </w:tcPr>
          <w:p w14:paraId="05FC6662">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工频电场强度(V/m)</w:t>
            </w:r>
          </w:p>
        </w:tc>
        <w:tc>
          <w:tcPr>
            <w:tcW w:w="1342" w:type="pct"/>
            <w:tcMar>
              <w:left w:w="28" w:type="dxa"/>
              <w:right w:w="28" w:type="dxa"/>
            </w:tcMar>
            <w:vAlign w:val="center"/>
          </w:tcPr>
          <w:p w14:paraId="18BACE7E">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工频磁感应强度(μT)</w:t>
            </w:r>
          </w:p>
        </w:tc>
      </w:tr>
      <w:tr w14:paraId="0443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25F40FA3">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1#</w:t>
            </w:r>
          </w:p>
        </w:tc>
        <w:tc>
          <w:tcPr>
            <w:tcW w:w="1777" w:type="pct"/>
            <w:tcMar>
              <w:left w:w="28" w:type="dxa"/>
              <w:right w:w="28" w:type="dxa"/>
            </w:tcMar>
            <w:vAlign w:val="center"/>
          </w:tcPr>
          <w:p w14:paraId="571EE9EF">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220</w:t>
            </w:r>
            <w:r>
              <w:rPr>
                <w:rFonts w:hint="eastAsia" w:hAnsi="Times New Roman"/>
                <w:sz w:val="21"/>
                <w:szCs w:val="21"/>
              </w:rPr>
              <w:t>kV</w:t>
            </w:r>
            <w:r>
              <w:rPr>
                <w:rFonts w:hAnsi="Times New Roman"/>
                <w:sz w:val="21"/>
                <w:szCs w:val="21"/>
              </w:rPr>
              <w:t>输电线路起始点1#</w:t>
            </w:r>
          </w:p>
        </w:tc>
        <w:tc>
          <w:tcPr>
            <w:tcW w:w="1369" w:type="pct"/>
            <w:tcMar>
              <w:left w:w="28" w:type="dxa"/>
              <w:right w:w="28" w:type="dxa"/>
            </w:tcMar>
            <w:vAlign w:val="center"/>
          </w:tcPr>
          <w:p w14:paraId="10D2E537">
            <w:pPr>
              <w:keepNext w:val="0"/>
              <w:keepLines w:val="0"/>
              <w:suppressLineNumbers w:val="0"/>
              <w:spacing w:before="0" w:beforeAutospacing="0" w:after="0" w:afterAutospacing="0"/>
              <w:ind w:left="0" w:right="0"/>
              <w:jc w:val="center"/>
              <w:rPr>
                <w:szCs w:val="21"/>
              </w:rPr>
            </w:pPr>
            <w:r>
              <w:rPr>
                <w:szCs w:val="21"/>
              </w:rPr>
              <w:t>1.215</w:t>
            </w:r>
          </w:p>
        </w:tc>
        <w:tc>
          <w:tcPr>
            <w:tcW w:w="1342" w:type="pct"/>
            <w:tcMar>
              <w:left w:w="28" w:type="dxa"/>
              <w:right w:w="28" w:type="dxa"/>
            </w:tcMar>
            <w:vAlign w:val="center"/>
          </w:tcPr>
          <w:p w14:paraId="4BCDD753">
            <w:pPr>
              <w:keepNext w:val="0"/>
              <w:keepLines w:val="0"/>
              <w:suppressLineNumbers w:val="0"/>
              <w:spacing w:before="0" w:beforeAutospacing="0" w:after="0" w:afterAutospacing="0"/>
              <w:ind w:left="0" w:right="0"/>
              <w:jc w:val="center"/>
              <w:rPr>
                <w:szCs w:val="21"/>
              </w:rPr>
            </w:pPr>
            <w:r>
              <w:rPr>
                <w:szCs w:val="21"/>
              </w:rPr>
              <w:t>0.133</w:t>
            </w:r>
          </w:p>
        </w:tc>
      </w:tr>
      <w:tr w14:paraId="75A4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624518B5">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2#</w:t>
            </w:r>
          </w:p>
        </w:tc>
        <w:tc>
          <w:tcPr>
            <w:tcW w:w="1777" w:type="pct"/>
            <w:tcMar>
              <w:left w:w="28" w:type="dxa"/>
              <w:right w:w="28" w:type="dxa"/>
            </w:tcMar>
            <w:vAlign w:val="center"/>
          </w:tcPr>
          <w:p w14:paraId="6838B15C">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220</w:t>
            </w:r>
            <w:r>
              <w:rPr>
                <w:rFonts w:hint="eastAsia" w:hAnsi="Times New Roman"/>
                <w:sz w:val="21"/>
                <w:szCs w:val="21"/>
              </w:rPr>
              <w:t>kV</w:t>
            </w:r>
            <w:r>
              <w:rPr>
                <w:rFonts w:hAnsi="Times New Roman"/>
                <w:sz w:val="21"/>
                <w:szCs w:val="21"/>
              </w:rPr>
              <w:t>输电线路中间点2#</w:t>
            </w:r>
          </w:p>
        </w:tc>
        <w:tc>
          <w:tcPr>
            <w:tcW w:w="1369" w:type="pct"/>
            <w:tcMar>
              <w:left w:w="28" w:type="dxa"/>
              <w:right w:w="28" w:type="dxa"/>
            </w:tcMar>
            <w:vAlign w:val="center"/>
          </w:tcPr>
          <w:p w14:paraId="39A4AA2F">
            <w:pPr>
              <w:keepNext w:val="0"/>
              <w:keepLines w:val="0"/>
              <w:suppressLineNumbers w:val="0"/>
              <w:spacing w:before="0" w:beforeAutospacing="0" w:after="0" w:afterAutospacing="0"/>
              <w:ind w:left="0" w:right="0"/>
              <w:jc w:val="center"/>
              <w:rPr>
                <w:szCs w:val="21"/>
              </w:rPr>
            </w:pPr>
            <w:r>
              <w:rPr>
                <w:szCs w:val="21"/>
              </w:rPr>
              <w:t>10.014</w:t>
            </w:r>
          </w:p>
        </w:tc>
        <w:tc>
          <w:tcPr>
            <w:tcW w:w="1342" w:type="pct"/>
            <w:tcMar>
              <w:left w:w="28" w:type="dxa"/>
              <w:right w:w="28" w:type="dxa"/>
            </w:tcMar>
            <w:vAlign w:val="center"/>
          </w:tcPr>
          <w:p w14:paraId="5B49D80C">
            <w:pPr>
              <w:keepNext w:val="0"/>
              <w:keepLines w:val="0"/>
              <w:suppressLineNumbers w:val="0"/>
              <w:spacing w:before="0" w:beforeAutospacing="0" w:after="0" w:afterAutospacing="0"/>
              <w:ind w:left="0" w:right="0"/>
              <w:jc w:val="center"/>
              <w:rPr>
                <w:szCs w:val="21"/>
              </w:rPr>
            </w:pPr>
            <w:r>
              <w:rPr>
                <w:szCs w:val="21"/>
              </w:rPr>
              <w:t>0.157</w:t>
            </w:r>
          </w:p>
        </w:tc>
      </w:tr>
      <w:tr w14:paraId="7C15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7BA5FD72">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3#</w:t>
            </w:r>
          </w:p>
        </w:tc>
        <w:tc>
          <w:tcPr>
            <w:tcW w:w="1777" w:type="pct"/>
            <w:tcMar>
              <w:left w:w="28" w:type="dxa"/>
              <w:right w:w="28" w:type="dxa"/>
            </w:tcMar>
            <w:vAlign w:val="center"/>
          </w:tcPr>
          <w:p w14:paraId="2F9ABBE6">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220</w:t>
            </w:r>
            <w:r>
              <w:rPr>
                <w:rFonts w:hint="eastAsia" w:hAnsi="Times New Roman"/>
                <w:sz w:val="21"/>
                <w:szCs w:val="21"/>
              </w:rPr>
              <w:t>kV</w:t>
            </w:r>
            <w:r>
              <w:rPr>
                <w:rFonts w:hAnsi="Times New Roman"/>
                <w:sz w:val="21"/>
                <w:szCs w:val="21"/>
              </w:rPr>
              <w:t>库米什扩建间隔3#</w:t>
            </w:r>
          </w:p>
        </w:tc>
        <w:tc>
          <w:tcPr>
            <w:tcW w:w="1369" w:type="pct"/>
            <w:tcMar>
              <w:left w:w="28" w:type="dxa"/>
              <w:right w:w="28" w:type="dxa"/>
            </w:tcMar>
            <w:vAlign w:val="center"/>
          </w:tcPr>
          <w:p w14:paraId="64E3B1F9">
            <w:pPr>
              <w:keepNext w:val="0"/>
              <w:keepLines w:val="0"/>
              <w:suppressLineNumbers w:val="0"/>
              <w:spacing w:before="0" w:beforeAutospacing="0" w:after="0" w:afterAutospacing="0"/>
              <w:ind w:left="0" w:right="0"/>
              <w:jc w:val="center"/>
              <w:rPr>
                <w:szCs w:val="21"/>
              </w:rPr>
            </w:pPr>
            <w:r>
              <w:rPr>
                <w:szCs w:val="21"/>
              </w:rPr>
              <w:t>433.383</w:t>
            </w:r>
          </w:p>
        </w:tc>
        <w:tc>
          <w:tcPr>
            <w:tcW w:w="1342" w:type="pct"/>
            <w:tcMar>
              <w:left w:w="28" w:type="dxa"/>
              <w:right w:w="28" w:type="dxa"/>
            </w:tcMar>
            <w:vAlign w:val="center"/>
          </w:tcPr>
          <w:p w14:paraId="34E4C7AB">
            <w:pPr>
              <w:keepNext w:val="0"/>
              <w:keepLines w:val="0"/>
              <w:suppressLineNumbers w:val="0"/>
              <w:spacing w:before="0" w:beforeAutospacing="0" w:after="0" w:afterAutospacing="0"/>
              <w:ind w:left="0" w:right="0"/>
              <w:jc w:val="center"/>
              <w:rPr>
                <w:szCs w:val="21"/>
              </w:rPr>
            </w:pPr>
            <w:r>
              <w:rPr>
                <w:szCs w:val="21"/>
              </w:rPr>
              <w:t>0.450</w:t>
            </w:r>
          </w:p>
        </w:tc>
      </w:tr>
      <w:tr w14:paraId="53AC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0FB4A218">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5#</w:t>
            </w:r>
          </w:p>
        </w:tc>
        <w:tc>
          <w:tcPr>
            <w:tcW w:w="1777" w:type="pct"/>
            <w:tcMar>
              <w:left w:w="28" w:type="dxa"/>
              <w:right w:w="28" w:type="dxa"/>
            </w:tcMar>
            <w:vAlign w:val="center"/>
          </w:tcPr>
          <w:p w14:paraId="6F751E10">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Ansi="Times New Roman"/>
                <w:sz w:val="21"/>
                <w:szCs w:val="21"/>
              </w:rPr>
              <w:t>升压站东侧</w:t>
            </w:r>
          </w:p>
        </w:tc>
        <w:tc>
          <w:tcPr>
            <w:tcW w:w="1369" w:type="pct"/>
            <w:tcMar>
              <w:left w:w="28" w:type="dxa"/>
              <w:right w:w="28" w:type="dxa"/>
            </w:tcMar>
            <w:vAlign w:val="center"/>
          </w:tcPr>
          <w:p w14:paraId="7B378C34">
            <w:pPr>
              <w:keepNext w:val="0"/>
              <w:keepLines w:val="0"/>
              <w:suppressLineNumbers w:val="0"/>
              <w:spacing w:before="0" w:beforeAutospacing="0" w:after="0" w:afterAutospacing="0"/>
              <w:ind w:left="0" w:right="0"/>
              <w:jc w:val="center"/>
              <w:rPr>
                <w:szCs w:val="21"/>
              </w:rPr>
            </w:pPr>
            <w:r>
              <w:rPr>
                <w:szCs w:val="21"/>
              </w:rPr>
              <w:t>1.076</w:t>
            </w:r>
          </w:p>
        </w:tc>
        <w:tc>
          <w:tcPr>
            <w:tcW w:w="1342" w:type="pct"/>
            <w:tcMar>
              <w:left w:w="28" w:type="dxa"/>
              <w:right w:w="28" w:type="dxa"/>
            </w:tcMar>
            <w:vAlign w:val="center"/>
          </w:tcPr>
          <w:p w14:paraId="73542E47">
            <w:pPr>
              <w:keepNext w:val="0"/>
              <w:keepLines w:val="0"/>
              <w:suppressLineNumbers w:val="0"/>
              <w:spacing w:before="0" w:beforeAutospacing="0" w:after="0" w:afterAutospacing="0"/>
              <w:ind w:left="0" w:right="0"/>
              <w:jc w:val="center"/>
              <w:rPr>
                <w:szCs w:val="21"/>
              </w:rPr>
            </w:pPr>
            <w:r>
              <w:rPr>
                <w:szCs w:val="21"/>
              </w:rPr>
              <w:t>0.122</w:t>
            </w:r>
          </w:p>
        </w:tc>
      </w:tr>
      <w:tr w14:paraId="6E87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03DA51A7">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6#</w:t>
            </w:r>
          </w:p>
        </w:tc>
        <w:tc>
          <w:tcPr>
            <w:tcW w:w="1777" w:type="pct"/>
            <w:tcMar>
              <w:left w:w="28" w:type="dxa"/>
              <w:right w:w="28" w:type="dxa"/>
            </w:tcMar>
            <w:vAlign w:val="center"/>
          </w:tcPr>
          <w:p w14:paraId="4207FEFF">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Ansi="Times New Roman"/>
                <w:sz w:val="21"/>
                <w:szCs w:val="21"/>
              </w:rPr>
              <w:t>升压站南侧</w:t>
            </w:r>
          </w:p>
        </w:tc>
        <w:tc>
          <w:tcPr>
            <w:tcW w:w="1369" w:type="pct"/>
            <w:tcMar>
              <w:left w:w="28" w:type="dxa"/>
              <w:right w:w="28" w:type="dxa"/>
            </w:tcMar>
            <w:vAlign w:val="center"/>
          </w:tcPr>
          <w:p w14:paraId="04110A0B">
            <w:pPr>
              <w:keepNext w:val="0"/>
              <w:keepLines w:val="0"/>
              <w:suppressLineNumbers w:val="0"/>
              <w:spacing w:before="0" w:beforeAutospacing="0" w:after="0" w:afterAutospacing="0"/>
              <w:ind w:left="0" w:right="0"/>
              <w:jc w:val="center"/>
              <w:rPr>
                <w:szCs w:val="21"/>
              </w:rPr>
            </w:pPr>
            <w:r>
              <w:rPr>
                <w:szCs w:val="21"/>
              </w:rPr>
              <w:t>1.222</w:t>
            </w:r>
          </w:p>
        </w:tc>
        <w:tc>
          <w:tcPr>
            <w:tcW w:w="1342" w:type="pct"/>
            <w:tcMar>
              <w:left w:w="28" w:type="dxa"/>
              <w:right w:w="28" w:type="dxa"/>
            </w:tcMar>
            <w:vAlign w:val="center"/>
          </w:tcPr>
          <w:p w14:paraId="5E8BCA66">
            <w:pPr>
              <w:keepNext w:val="0"/>
              <w:keepLines w:val="0"/>
              <w:suppressLineNumbers w:val="0"/>
              <w:spacing w:before="0" w:beforeAutospacing="0" w:after="0" w:afterAutospacing="0"/>
              <w:ind w:left="0" w:right="0"/>
              <w:jc w:val="center"/>
              <w:rPr>
                <w:szCs w:val="21"/>
              </w:rPr>
            </w:pPr>
            <w:r>
              <w:rPr>
                <w:szCs w:val="21"/>
              </w:rPr>
              <w:t>0.126</w:t>
            </w:r>
          </w:p>
        </w:tc>
      </w:tr>
      <w:tr w14:paraId="4A38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6A7EF5FF">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7#</w:t>
            </w:r>
          </w:p>
        </w:tc>
        <w:tc>
          <w:tcPr>
            <w:tcW w:w="1777" w:type="pct"/>
            <w:tcMar>
              <w:left w:w="28" w:type="dxa"/>
              <w:right w:w="28" w:type="dxa"/>
            </w:tcMar>
            <w:vAlign w:val="center"/>
          </w:tcPr>
          <w:p w14:paraId="4DC9903C">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Ansi="Times New Roman"/>
                <w:sz w:val="21"/>
                <w:szCs w:val="21"/>
              </w:rPr>
              <w:t>升压站西侧</w:t>
            </w:r>
          </w:p>
        </w:tc>
        <w:tc>
          <w:tcPr>
            <w:tcW w:w="1369" w:type="pct"/>
            <w:tcMar>
              <w:left w:w="28" w:type="dxa"/>
              <w:right w:w="28" w:type="dxa"/>
            </w:tcMar>
            <w:vAlign w:val="center"/>
          </w:tcPr>
          <w:p w14:paraId="11D288C2">
            <w:pPr>
              <w:keepNext w:val="0"/>
              <w:keepLines w:val="0"/>
              <w:suppressLineNumbers w:val="0"/>
              <w:spacing w:before="0" w:beforeAutospacing="0" w:after="0" w:afterAutospacing="0"/>
              <w:ind w:left="0" w:right="0"/>
              <w:jc w:val="center"/>
              <w:rPr>
                <w:szCs w:val="21"/>
              </w:rPr>
            </w:pPr>
            <w:r>
              <w:rPr>
                <w:szCs w:val="21"/>
              </w:rPr>
              <w:t>1.237</w:t>
            </w:r>
          </w:p>
        </w:tc>
        <w:tc>
          <w:tcPr>
            <w:tcW w:w="1342" w:type="pct"/>
            <w:tcMar>
              <w:left w:w="28" w:type="dxa"/>
              <w:right w:w="28" w:type="dxa"/>
            </w:tcMar>
            <w:vAlign w:val="center"/>
          </w:tcPr>
          <w:p w14:paraId="7C2158BB">
            <w:pPr>
              <w:keepNext w:val="0"/>
              <w:keepLines w:val="0"/>
              <w:suppressLineNumbers w:val="0"/>
              <w:spacing w:before="0" w:beforeAutospacing="0" w:after="0" w:afterAutospacing="0"/>
              <w:ind w:left="0" w:right="0"/>
              <w:jc w:val="center"/>
              <w:rPr>
                <w:szCs w:val="21"/>
              </w:rPr>
            </w:pPr>
            <w:r>
              <w:rPr>
                <w:szCs w:val="21"/>
              </w:rPr>
              <w:t>0.136</w:t>
            </w:r>
          </w:p>
        </w:tc>
      </w:tr>
      <w:tr w14:paraId="1721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3D3B2D5B">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8#</w:t>
            </w:r>
          </w:p>
        </w:tc>
        <w:tc>
          <w:tcPr>
            <w:tcW w:w="1777" w:type="pct"/>
            <w:tcMar>
              <w:left w:w="28" w:type="dxa"/>
              <w:right w:w="28" w:type="dxa"/>
            </w:tcMar>
            <w:vAlign w:val="center"/>
          </w:tcPr>
          <w:p w14:paraId="24233A2A">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Ansi="Times New Roman"/>
                <w:sz w:val="21"/>
                <w:szCs w:val="21"/>
              </w:rPr>
              <w:t>升压站北侧</w:t>
            </w:r>
          </w:p>
        </w:tc>
        <w:tc>
          <w:tcPr>
            <w:tcW w:w="1369" w:type="pct"/>
            <w:tcMar>
              <w:left w:w="28" w:type="dxa"/>
              <w:right w:w="28" w:type="dxa"/>
            </w:tcMar>
            <w:vAlign w:val="center"/>
          </w:tcPr>
          <w:p w14:paraId="5A503B68">
            <w:pPr>
              <w:keepNext w:val="0"/>
              <w:keepLines w:val="0"/>
              <w:suppressLineNumbers w:val="0"/>
              <w:spacing w:before="0" w:beforeAutospacing="0" w:after="0" w:afterAutospacing="0"/>
              <w:ind w:left="0" w:right="0"/>
              <w:jc w:val="center"/>
              <w:rPr>
                <w:szCs w:val="21"/>
              </w:rPr>
            </w:pPr>
            <w:r>
              <w:rPr>
                <w:szCs w:val="21"/>
              </w:rPr>
              <w:t>1.211</w:t>
            </w:r>
          </w:p>
        </w:tc>
        <w:tc>
          <w:tcPr>
            <w:tcW w:w="1342" w:type="pct"/>
            <w:tcMar>
              <w:left w:w="28" w:type="dxa"/>
              <w:right w:w="28" w:type="dxa"/>
            </w:tcMar>
            <w:vAlign w:val="center"/>
          </w:tcPr>
          <w:p w14:paraId="106F0381">
            <w:pPr>
              <w:keepNext w:val="0"/>
              <w:keepLines w:val="0"/>
              <w:suppressLineNumbers w:val="0"/>
              <w:spacing w:before="0" w:beforeAutospacing="0" w:after="0" w:afterAutospacing="0"/>
              <w:ind w:left="0" w:right="0"/>
              <w:jc w:val="center"/>
              <w:rPr>
                <w:szCs w:val="21"/>
              </w:rPr>
            </w:pPr>
            <w:r>
              <w:rPr>
                <w:szCs w:val="21"/>
              </w:rPr>
              <w:t>0.123</w:t>
            </w:r>
          </w:p>
        </w:tc>
      </w:tr>
      <w:tr w14:paraId="7073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tcMar>
              <w:left w:w="28" w:type="dxa"/>
              <w:right w:w="28" w:type="dxa"/>
            </w:tcMar>
            <w:vAlign w:val="center"/>
          </w:tcPr>
          <w:p w14:paraId="72FC855F">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Ansi="Times New Roman"/>
                <w:sz w:val="21"/>
                <w:szCs w:val="21"/>
              </w:rPr>
              <w:t>9#</w:t>
            </w:r>
          </w:p>
        </w:tc>
        <w:tc>
          <w:tcPr>
            <w:tcW w:w="1777" w:type="pct"/>
            <w:tcMar>
              <w:left w:w="28" w:type="dxa"/>
              <w:right w:w="28" w:type="dxa"/>
            </w:tcMar>
            <w:vAlign w:val="center"/>
          </w:tcPr>
          <w:p w14:paraId="57D49E04">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Ansi="Times New Roman"/>
                <w:sz w:val="21"/>
                <w:szCs w:val="21"/>
              </w:rPr>
              <w:t>升压站中心点</w:t>
            </w:r>
          </w:p>
        </w:tc>
        <w:tc>
          <w:tcPr>
            <w:tcW w:w="1369" w:type="pct"/>
            <w:tcMar>
              <w:left w:w="28" w:type="dxa"/>
              <w:right w:w="28" w:type="dxa"/>
            </w:tcMar>
            <w:vAlign w:val="center"/>
          </w:tcPr>
          <w:p w14:paraId="304EC82F">
            <w:pPr>
              <w:keepNext w:val="0"/>
              <w:keepLines w:val="0"/>
              <w:suppressLineNumbers w:val="0"/>
              <w:spacing w:before="0" w:beforeAutospacing="0" w:after="0" w:afterAutospacing="0"/>
              <w:ind w:left="0" w:right="0"/>
              <w:jc w:val="center"/>
              <w:rPr>
                <w:szCs w:val="21"/>
              </w:rPr>
            </w:pPr>
            <w:r>
              <w:rPr>
                <w:szCs w:val="21"/>
              </w:rPr>
              <w:t>1.216</w:t>
            </w:r>
          </w:p>
        </w:tc>
        <w:tc>
          <w:tcPr>
            <w:tcW w:w="1342" w:type="pct"/>
            <w:tcMar>
              <w:left w:w="28" w:type="dxa"/>
              <w:right w:w="28" w:type="dxa"/>
            </w:tcMar>
            <w:vAlign w:val="center"/>
          </w:tcPr>
          <w:p w14:paraId="6996CD3B">
            <w:pPr>
              <w:keepNext w:val="0"/>
              <w:keepLines w:val="0"/>
              <w:suppressLineNumbers w:val="0"/>
              <w:spacing w:before="0" w:beforeAutospacing="0" w:after="0" w:afterAutospacing="0"/>
              <w:ind w:left="0" w:right="0"/>
              <w:jc w:val="center"/>
              <w:rPr>
                <w:szCs w:val="21"/>
              </w:rPr>
            </w:pPr>
            <w:r>
              <w:rPr>
                <w:szCs w:val="21"/>
              </w:rPr>
              <w:t>0.124</w:t>
            </w:r>
          </w:p>
        </w:tc>
      </w:tr>
      <w:tr w14:paraId="105C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shd w:val="clear" w:color="auto" w:fill="auto"/>
            <w:tcMar>
              <w:left w:w="28" w:type="dxa"/>
              <w:right w:w="28" w:type="dxa"/>
            </w:tcMar>
            <w:vAlign w:val="center"/>
          </w:tcPr>
          <w:p w14:paraId="29B5CF71">
            <w:pPr>
              <w:pStyle w:val="36"/>
              <w:keepNext w:val="0"/>
              <w:keepLines w:val="0"/>
              <w:suppressLineNumbers w:val="0"/>
              <w:spacing w:before="31" w:beforeAutospacing="0" w:after="31" w:afterAutospacing="0" w:line="240" w:lineRule="atLeast"/>
              <w:ind w:left="0" w:leftChars="0" w:right="0" w:rightChars="0"/>
              <w:rPr>
                <w:rFonts w:ascii="Times New Roman" w:hAnsi="Times New Roman" w:eastAsia="宋体" w:cs="Times New Roman"/>
                <w:kern w:val="2"/>
                <w:sz w:val="21"/>
                <w:szCs w:val="21"/>
                <w:lang w:val="en-US" w:eastAsia="zh-CN" w:bidi="ar-SA"/>
              </w:rPr>
            </w:pPr>
            <w:r>
              <w:rPr>
                <w:rFonts w:hint="eastAsia" w:hAnsi="Times New Roman"/>
                <w:sz w:val="21"/>
                <w:szCs w:val="21"/>
                <w:lang w:val="en-US" w:eastAsia="zh-CN"/>
              </w:rPr>
              <w:t>1</w:t>
            </w:r>
            <w:r>
              <w:rPr>
                <w:rFonts w:hAnsi="Times New Roman"/>
                <w:sz w:val="21"/>
                <w:szCs w:val="21"/>
              </w:rPr>
              <w:t>1#</w:t>
            </w:r>
          </w:p>
        </w:tc>
        <w:tc>
          <w:tcPr>
            <w:tcW w:w="1777" w:type="pct"/>
            <w:tcMar>
              <w:left w:w="28" w:type="dxa"/>
              <w:right w:w="28" w:type="dxa"/>
            </w:tcMar>
            <w:vAlign w:val="center"/>
          </w:tcPr>
          <w:p w14:paraId="6F038D2F">
            <w:pPr>
              <w:pStyle w:val="36"/>
              <w:keepNext w:val="0"/>
              <w:keepLines w:val="0"/>
              <w:suppressLineNumbers w:val="0"/>
              <w:spacing w:before="31" w:beforeAutospacing="0" w:after="31" w:afterAutospacing="0" w:line="240" w:lineRule="atLeast"/>
              <w:ind w:left="0" w:right="0"/>
              <w:rPr>
                <w:rFonts w:hint="eastAsia" w:hAnsi="Times New Roman" w:eastAsia="宋体"/>
                <w:sz w:val="21"/>
                <w:szCs w:val="21"/>
                <w:lang w:eastAsia="zh-CN"/>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int="eastAsia" w:hAnsi="Times New Roman"/>
                <w:sz w:val="21"/>
                <w:szCs w:val="21"/>
                <w:lang w:eastAsia="zh-CN"/>
              </w:rPr>
              <w:t>变电站扩建间隔东侧</w:t>
            </w:r>
          </w:p>
        </w:tc>
        <w:tc>
          <w:tcPr>
            <w:tcW w:w="1369" w:type="pct"/>
            <w:tcMar>
              <w:left w:w="28" w:type="dxa"/>
              <w:right w:w="28" w:type="dxa"/>
            </w:tcMar>
            <w:vAlign w:val="center"/>
          </w:tcPr>
          <w:p w14:paraId="5B9900AC">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5.117</w:t>
            </w:r>
          </w:p>
        </w:tc>
        <w:tc>
          <w:tcPr>
            <w:tcW w:w="1342" w:type="pct"/>
            <w:tcMar>
              <w:left w:w="28" w:type="dxa"/>
              <w:right w:w="28" w:type="dxa"/>
            </w:tcMar>
            <w:vAlign w:val="center"/>
          </w:tcPr>
          <w:p w14:paraId="0DD6728A">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0.139</w:t>
            </w:r>
          </w:p>
        </w:tc>
      </w:tr>
      <w:tr w14:paraId="79D5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shd w:val="clear" w:color="auto" w:fill="auto"/>
            <w:tcMar>
              <w:left w:w="28" w:type="dxa"/>
              <w:right w:w="28" w:type="dxa"/>
            </w:tcMar>
            <w:vAlign w:val="center"/>
          </w:tcPr>
          <w:p w14:paraId="71826D12">
            <w:pPr>
              <w:pStyle w:val="36"/>
              <w:keepNext w:val="0"/>
              <w:keepLines w:val="0"/>
              <w:suppressLineNumbers w:val="0"/>
              <w:spacing w:before="31" w:beforeAutospacing="0" w:after="31" w:afterAutospacing="0" w:line="240" w:lineRule="atLeast"/>
              <w:ind w:left="0" w:leftChars="0" w:right="0" w:rightChars="0"/>
              <w:rPr>
                <w:rFonts w:ascii="Times New Roman" w:hAnsi="Times New Roman" w:eastAsia="宋体" w:cs="Times New Roman"/>
                <w:kern w:val="2"/>
                <w:sz w:val="21"/>
                <w:szCs w:val="21"/>
                <w:lang w:val="en-US" w:eastAsia="zh-CN" w:bidi="ar-SA"/>
              </w:rPr>
            </w:pPr>
            <w:r>
              <w:rPr>
                <w:rFonts w:hint="eastAsia" w:hAnsi="Times New Roman"/>
                <w:sz w:val="21"/>
                <w:szCs w:val="21"/>
                <w:lang w:eastAsia="zh-CN"/>
              </w:rPr>
              <w:t>1</w:t>
            </w:r>
            <w:r>
              <w:rPr>
                <w:rFonts w:hAnsi="Times New Roman"/>
                <w:sz w:val="21"/>
                <w:szCs w:val="21"/>
              </w:rPr>
              <w:t>2#</w:t>
            </w:r>
          </w:p>
        </w:tc>
        <w:tc>
          <w:tcPr>
            <w:tcW w:w="1777" w:type="pct"/>
            <w:tcMar>
              <w:left w:w="28" w:type="dxa"/>
              <w:right w:w="28" w:type="dxa"/>
            </w:tcMar>
            <w:vAlign w:val="center"/>
          </w:tcPr>
          <w:p w14:paraId="75B327E3">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int="eastAsia" w:hAnsi="Times New Roman"/>
                <w:sz w:val="21"/>
                <w:szCs w:val="21"/>
                <w:lang w:eastAsia="zh-CN"/>
              </w:rPr>
              <w:t>变电站扩建间隔南侧</w:t>
            </w:r>
          </w:p>
        </w:tc>
        <w:tc>
          <w:tcPr>
            <w:tcW w:w="1369" w:type="pct"/>
            <w:tcMar>
              <w:left w:w="28" w:type="dxa"/>
              <w:right w:w="28" w:type="dxa"/>
            </w:tcMar>
            <w:vAlign w:val="center"/>
          </w:tcPr>
          <w:p w14:paraId="0F5617FE">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315.264</w:t>
            </w:r>
          </w:p>
        </w:tc>
        <w:tc>
          <w:tcPr>
            <w:tcW w:w="1342" w:type="pct"/>
            <w:tcMar>
              <w:left w:w="28" w:type="dxa"/>
              <w:right w:w="28" w:type="dxa"/>
            </w:tcMar>
            <w:vAlign w:val="center"/>
          </w:tcPr>
          <w:p w14:paraId="378AC1FF">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0.275</w:t>
            </w:r>
          </w:p>
        </w:tc>
      </w:tr>
      <w:tr w14:paraId="57FA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shd w:val="clear" w:color="auto" w:fill="auto"/>
            <w:tcMar>
              <w:left w:w="28" w:type="dxa"/>
              <w:right w:w="28" w:type="dxa"/>
            </w:tcMar>
            <w:vAlign w:val="center"/>
          </w:tcPr>
          <w:p w14:paraId="05880357">
            <w:pPr>
              <w:pStyle w:val="36"/>
              <w:keepNext w:val="0"/>
              <w:keepLines w:val="0"/>
              <w:suppressLineNumbers w:val="0"/>
              <w:spacing w:before="31" w:beforeAutospacing="0" w:after="31" w:afterAutospacing="0" w:line="240" w:lineRule="atLeast"/>
              <w:ind w:left="0" w:leftChars="0" w:right="0" w:rightChars="0"/>
              <w:rPr>
                <w:rFonts w:ascii="Times New Roman" w:hAnsi="Times New Roman" w:eastAsia="宋体" w:cs="Times New Roman"/>
                <w:kern w:val="2"/>
                <w:sz w:val="21"/>
                <w:szCs w:val="21"/>
                <w:lang w:val="en-US" w:eastAsia="zh-CN" w:bidi="ar-SA"/>
              </w:rPr>
            </w:pPr>
            <w:r>
              <w:rPr>
                <w:rFonts w:hint="eastAsia" w:hAnsi="Times New Roman"/>
                <w:sz w:val="21"/>
                <w:szCs w:val="21"/>
                <w:lang w:val="en-US" w:eastAsia="zh-CN"/>
              </w:rPr>
              <w:t>1</w:t>
            </w:r>
            <w:r>
              <w:rPr>
                <w:rFonts w:hAnsi="Times New Roman"/>
                <w:sz w:val="21"/>
                <w:szCs w:val="21"/>
              </w:rPr>
              <w:t>3#</w:t>
            </w:r>
          </w:p>
        </w:tc>
        <w:tc>
          <w:tcPr>
            <w:tcW w:w="1777" w:type="pct"/>
            <w:tcMar>
              <w:left w:w="28" w:type="dxa"/>
              <w:right w:w="28" w:type="dxa"/>
            </w:tcMar>
            <w:vAlign w:val="center"/>
          </w:tcPr>
          <w:p w14:paraId="3DCA8116">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int="eastAsia" w:hAnsi="Times New Roman"/>
                <w:sz w:val="21"/>
                <w:szCs w:val="21"/>
                <w:lang w:eastAsia="zh-CN"/>
              </w:rPr>
              <w:t>变电站扩建间隔西侧</w:t>
            </w:r>
          </w:p>
        </w:tc>
        <w:tc>
          <w:tcPr>
            <w:tcW w:w="1369" w:type="pct"/>
            <w:tcMar>
              <w:left w:w="28" w:type="dxa"/>
              <w:right w:w="28" w:type="dxa"/>
            </w:tcMar>
            <w:vAlign w:val="center"/>
          </w:tcPr>
          <w:p w14:paraId="20E03F58">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39.920</w:t>
            </w:r>
          </w:p>
        </w:tc>
        <w:tc>
          <w:tcPr>
            <w:tcW w:w="1342" w:type="pct"/>
            <w:tcMar>
              <w:left w:w="28" w:type="dxa"/>
              <w:right w:w="28" w:type="dxa"/>
            </w:tcMar>
            <w:vAlign w:val="center"/>
          </w:tcPr>
          <w:p w14:paraId="1645C634">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0.177</w:t>
            </w:r>
          </w:p>
        </w:tc>
      </w:tr>
      <w:tr w14:paraId="5E06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shd w:val="clear" w:color="auto" w:fill="auto"/>
            <w:tcMar>
              <w:left w:w="28" w:type="dxa"/>
              <w:right w:w="28" w:type="dxa"/>
            </w:tcMar>
            <w:vAlign w:val="center"/>
          </w:tcPr>
          <w:p w14:paraId="029CDE96">
            <w:pPr>
              <w:pStyle w:val="36"/>
              <w:keepNext w:val="0"/>
              <w:keepLines w:val="0"/>
              <w:suppressLineNumbers w:val="0"/>
              <w:spacing w:before="31" w:beforeAutospacing="0" w:after="31" w:afterAutospacing="0" w:line="240" w:lineRule="atLeast"/>
              <w:ind w:left="0" w:leftChars="0" w:right="0" w:rightChars="0"/>
              <w:rPr>
                <w:rFonts w:ascii="Times New Roman" w:hAnsi="Times New Roman" w:eastAsia="宋体" w:cs="Times New Roman"/>
                <w:kern w:val="2"/>
                <w:sz w:val="21"/>
                <w:szCs w:val="21"/>
                <w:lang w:val="en-US" w:eastAsia="zh-CN" w:bidi="ar-SA"/>
              </w:rPr>
            </w:pPr>
            <w:r>
              <w:rPr>
                <w:rFonts w:hint="eastAsia" w:hAnsi="Times New Roman"/>
                <w:sz w:val="21"/>
                <w:szCs w:val="21"/>
                <w:lang w:val="en-US" w:eastAsia="zh-CN"/>
              </w:rPr>
              <w:t>14</w:t>
            </w:r>
            <w:r>
              <w:rPr>
                <w:rFonts w:hAnsi="Times New Roman"/>
                <w:sz w:val="21"/>
                <w:szCs w:val="21"/>
              </w:rPr>
              <w:t>#</w:t>
            </w:r>
          </w:p>
        </w:tc>
        <w:tc>
          <w:tcPr>
            <w:tcW w:w="1777" w:type="pct"/>
            <w:tcMar>
              <w:left w:w="28" w:type="dxa"/>
              <w:right w:w="28" w:type="dxa"/>
            </w:tcMar>
            <w:vAlign w:val="center"/>
          </w:tcPr>
          <w:p w14:paraId="34F550FC">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int="eastAsia" w:hAnsi="Times New Roman"/>
                <w:sz w:val="21"/>
                <w:szCs w:val="21"/>
                <w:lang w:eastAsia="zh-CN"/>
              </w:rPr>
              <w:t>变电站扩建间隔北侧</w:t>
            </w:r>
          </w:p>
        </w:tc>
        <w:tc>
          <w:tcPr>
            <w:tcW w:w="1369" w:type="pct"/>
            <w:tcMar>
              <w:left w:w="28" w:type="dxa"/>
              <w:right w:w="28" w:type="dxa"/>
            </w:tcMar>
            <w:vAlign w:val="center"/>
          </w:tcPr>
          <w:p w14:paraId="7E2E45FE">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341.534</w:t>
            </w:r>
          </w:p>
        </w:tc>
        <w:tc>
          <w:tcPr>
            <w:tcW w:w="1342" w:type="pct"/>
            <w:tcMar>
              <w:left w:w="28" w:type="dxa"/>
              <w:right w:w="28" w:type="dxa"/>
            </w:tcMar>
            <w:vAlign w:val="center"/>
          </w:tcPr>
          <w:p w14:paraId="7FC42319">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0.329</w:t>
            </w:r>
          </w:p>
        </w:tc>
      </w:tr>
      <w:tr w14:paraId="7B21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0" w:type="pct"/>
            <w:shd w:val="clear" w:color="auto" w:fill="auto"/>
            <w:tcMar>
              <w:left w:w="28" w:type="dxa"/>
              <w:right w:w="28" w:type="dxa"/>
            </w:tcMar>
            <w:vAlign w:val="center"/>
          </w:tcPr>
          <w:p w14:paraId="18921088">
            <w:pPr>
              <w:pStyle w:val="36"/>
              <w:keepNext w:val="0"/>
              <w:keepLines w:val="0"/>
              <w:suppressLineNumbers w:val="0"/>
              <w:spacing w:before="31" w:beforeAutospacing="0" w:after="31" w:afterAutospacing="0" w:line="240" w:lineRule="atLeast"/>
              <w:ind w:left="0" w:leftChars="0" w:right="0" w:rightChars="0"/>
              <w:rPr>
                <w:rFonts w:ascii="Times New Roman" w:hAnsi="Times New Roman" w:eastAsia="宋体" w:cs="Times New Roman"/>
                <w:kern w:val="2"/>
                <w:sz w:val="21"/>
                <w:szCs w:val="21"/>
                <w:lang w:val="en-US" w:eastAsia="zh-CN" w:bidi="ar-SA"/>
              </w:rPr>
            </w:pPr>
            <w:r>
              <w:rPr>
                <w:rFonts w:hint="eastAsia" w:hAnsi="Times New Roman"/>
                <w:sz w:val="21"/>
                <w:szCs w:val="21"/>
                <w:lang w:val="en-US" w:eastAsia="zh-CN"/>
              </w:rPr>
              <w:t>15</w:t>
            </w:r>
            <w:r>
              <w:rPr>
                <w:rFonts w:hAnsi="Times New Roman"/>
                <w:sz w:val="21"/>
                <w:szCs w:val="21"/>
              </w:rPr>
              <w:t>#</w:t>
            </w:r>
          </w:p>
        </w:tc>
        <w:tc>
          <w:tcPr>
            <w:tcW w:w="1777" w:type="pct"/>
            <w:tcMar>
              <w:left w:w="28" w:type="dxa"/>
              <w:right w:w="28" w:type="dxa"/>
            </w:tcMar>
            <w:vAlign w:val="center"/>
          </w:tcPr>
          <w:p w14:paraId="5428159C">
            <w:pPr>
              <w:pStyle w:val="36"/>
              <w:keepNext w:val="0"/>
              <w:keepLines w:val="0"/>
              <w:suppressLineNumbers w:val="0"/>
              <w:spacing w:before="31" w:beforeAutospacing="0" w:after="31" w:afterAutospacing="0" w:line="240" w:lineRule="atLeast"/>
              <w:ind w:left="0" w:right="0"/>
              <w:rPr>
                <w:rFonts w:hAnsi="Times New Roman"/>
                <w:sz w:val="21"/>
                <w:szCs w:val="21"/>
              </w:rPr>
            </w:pPr>
            <w:r>
              <w:rPr>
                <w:rFonts w:hint="eastAsia" w:hAnsi="Times New Roman"/>
                <w:sz w:val="21"/>
                <w:szCs w:val="21"/>
                <w:lang w:val="en-US" w:eastAsia="zh-CN"/>
              </w:rPr>
              <w:t>22</w:t>
            </w:r>
            <w:r>
              <w:rPr>
                <w:rFonts w:hAnsi="Times New Roman"/>
                <w:sz w:val="21"/>
                <w:szCs w:val="21"/>
              </w:rPr>
              <w:t>0</w:t>
            </w:r>
            <w:r>
              <w:rPr>
                <w:rFonts w:hint="eastAsia" w:hAnsi="Times New Roman"/>
                <w:sz w:val="21"/>
                <w:szCs w:val="21"/>
              </w:rPr>
              <w:t>kV</w:t>
            </w:r>
            <w:r>
              <w:rPr>
                <w:rFonts w:hint="eastAsia" w:hAnsi="Times New Roman"/>
                <w:sz w:val="21"/>
                <w:szCs w:val="21"/>
                <w:lang w:eastAsia="zh-CN"/>
              </w:rPr>
              <w:t>变电站库米什变电站内</w:t>
            </w:r>
          </w:p>
        </w:tc>
        <w:tc>
          <w:tcPr>
            <w:tcW w:w="1369" w:type="pct"/>
            <w:tcMar>
              <w:left w:w="28" w:type="dxa"/>
              <w:right w:w="28" w:type="dxa"/>
            </w:tcMar>
            <w:vAlign w:val="center"/>
          </w:tcPr>
          <w:p w14:paraId="4D478623">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3.072</w:t>
            </w:r>
          </w:p>
        </w:tc>
        <w:tc>
          <w:tcPr>
            <w:tcW w:w="1342" w:type="pct"/>
            <w:tcMar>
              <w:left w:w="28" w:type="dxa"/>
              <w:right w:w="28" w:type="dxa"/>
            </w:tcMar>
            <w:vAlign w:val="center"/>
          </w:tcPr>
          <w:p w14:paraId="43949FE5">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0.127</w:t>
            </w:r>
          </w:p>
        </w:tc>
      </w:tr>
    </w:tbl>
    <w:p w14:paraId="3C6269EC">
      <w:pPr>
        <w:snapToGrid w:val="0"/>
        <w:spacing w:line="480" w:lineRule="exact"/>
        <w:ind w:firstLine="480" w:firstLineChars="200"/>
        <w:rPr>
          <w:sz w:val="24"/>
          <w:lang w:val="zh-CN"/>
        </w:rPr>
      </w:pPr>
      <w:r>
        <w:rPr>
          <w:sz w:val="24"/>
          <w:lang w:val="zh-CN"/>
        </w:rPr>
        <w:t>由表2.5-1分析可知，各监测点工频电场强度、工频磁感应强度监测结果均满足《电磁环境控制限值》（GB8702-2014）中的（电场强度</w:t>
      </w:r>
      <w:r>
        <w:rPr>
          <w:rFonts w:asciiTheme="minorEastAsia" w:hAnsiTheme="minorEastAsia" w:eastAsiaTheme="minorEastAsia"/>
          <w:sz w:val="24"/>
          <w:lang w:val="zh-CN"/>
        </w:rPr>
        <w:t>≤</w:t>
      </w:r>
      <w:r>
        <w:rPr>
          <w:sz w:val="24"/>
          <w:lang w:val="zh-CN"/>
        </w:rPr>
        <w:t>4000V/m；磁感应强度</w:t>
      </w:r>
      <w:r>
        <w:rPr>
          <w:rFonts w:asciiTheme="minorEastAsia" w:hAnsiTheme="minorEastAsia" w:eastAsiaTheme="minorEastAsia"/>
          <w:sz w:val="24"/>
          <w:lang w:val="zh-CN"/>
        </w:rPr>
        <w:t>≤</w:t>
      </w:r>
      <w:r>
        <w:rPr>
          <w:sz w:val="24"/>
          <w:lang w:val="zh-CN"/>
        </w:rPr>
        <w:t>100μT）公众曝露控制限值。</w:t>
      </w:r>
    </w:p>
    <w:p w14:paraId="2AE8499F">
      <w:pPr>
        <w:pStyle w:val="2"/>
        <w:spacing w:line="240" w:lineRule="auto"/>
        <w:rPr>
          <w:rFonts w:hint="eastAsia" w:ascii="宋体" w:hAnsi="宋体" w:eastAsia="宋体"/>
          <w:color w:val="auto"/>
          <w:sz w:val="24"/>
          <w:szCs w:val="24"/>
          <w:lang w:eastAsia="zh-CN"/>
        </w:rPr>
      </w:pPr>
      <w:r>
        <w:rPr>
          <w:rFonts w:eastAsia="宋体"/>
          <w:color w:val="auto"/>
          <w:sz w:val="24"/>
          <w:szCs w:val="24"/>
        </w:rPr>
        <w:t>3</w:t>
      </w:r>
      <w:r>
        <w:rPr>
          <w:rFonts w:hint="eastAsia" w:ascii="宋体" w:hAnsi="宋体" w:eastAsia="宋体"/>
          <w:color w:val="auto"/>
          <w:sz w:val="24"/>
          <w:szCs w:val="24"/>
        </w:rPr>
        <w:t>、</w:t>
      </w:r>
      <w:r>
        <w:rPr>
          <w:rFonts w:ascii="宋体" w:hAnsi="宋体" w:eastAsia="宋体"/>
          <w:color w:val="auto"/>
          <w:sz w:val="24"/>
          <w:szCs w:val="24"/>
        </w:rPr>
        <w:t>电磁环境影响预测</w:t>
      </w:r>
      <w:r>
        <w:rPr>
          <w:rFonts w:hint="eastAsia" w:ascii="宋体" w:hAnsi="宋体" w:eastAsia="宋体"/>
          <w:color w:val="auto"/>
          <w:sz w:val="24"/>
          <w:szCs w:val="24"/>
          <w:lang w:eastAsia="zh-CN"/>
        </w:rPr>
        <w:t>分析</w:t>
      </w:r>
    </w:p>
    <w:p w14:paraId="5C482CFE">
      <w:pPr>
        <w:spacing w:line="360" w:lineRule="auto"/>
        <w:ind w:firstLine="480" w:firstLineChars="200"/>
        <w:rPr>
          <w:rFonts w:hint="eastAsia"/>
          <w:b w:val="0"/>
          <w:bCs w:val="0"/>
          <w:color w:val="000000" w:themeColor="text1"/>
          <w:sz w:val="24"/>
          <w:highlight w:val="none"/>
          <w:lang w:val="en-US" w:eastAsia="zh-CN"/>
        </w:rPr>
      </w:pPr>
      <w:r>
        <w:rPr>
          <w:rFonts w:hint="eastAsia"/>
          <w:b w:val="0"/>
          <w:bCs w:val="0"/>
          <w:color w:val="000000" w:themeColor="text1"/>
          <w:sz w:val="24"/>
          <w:lang w:val="en-US" w:eastAsia="zh-CN"/>
        </w:rPr>
        <w:t>本项目由220kV升压站、7.84km220kV输电线路和库米什220kV变电站扩建间隔组成。其中扩建间隔位于库米什220kV变电站东侧，占地2310m</w:t>
      </w:r>
      <w:r>
        <w:rPr>
          <w:rFonts w:hint="eastAsia"/>
          <w:b w:val="0"/>
          <w:bCs w:val="0"/>
          <w:color w:val="000000" w:themeColor="text1"/>
          <w:sz w:val="24"/>
          <w:vertAlign w:val="superscript"/>
          <w:lang w:val="en-US" w:eastAsia="zh-CN"/>
        </w:rPr>
        <w:t>2</w:t>
      </w:r>
      <w:r>
        <w:rPr>
          <w:rFonts w:hint="eastAsia"/>
          <w:b w:val="0"/>
          <w:bCs w:val="0"/>
          <w:color w:val="000000" w:themeColor="text1"/>
          <w:sz w:val="24"/>
          <w:lang w:val="en-US" w:eastAsia="zh-CN"/>
        </w:rPr>
        <w:t>，扩建2回220kV出线间隔</w:t>
      </w:r>
      <w:r>
        <w:rPr>
          <w:rFonts w:hint="eastAsia"/>
          <w:b w:val="0"/>
          <w:bCs w:val="0"/>
          <w:color w:val="000000" w:themeColor="text1"/>
          <w:sz w:val="24"/>
          <w:highlight w:val="none"/>
          <w:lang w:val="en-US" w:eastAsia="zh-CN"/>
        </w:rPr>
        <w:t>，本期建成1回220kV出线间隔，预留1回220kV出线间隔。出线间隔主要包含隔离开关、断路器、互感器、避雷器等设备。库米什220kV变电站于2012年8月1日1号主变送电成功，目前已建成2台主变，已建设6回220kV出线，无预留间隔。现状评价中已对库米什变电站四周及中心进行了电磁环境现状监测，监测结果表明工频电场强度、工频磁感应强度监测结果均满足</w:t>
      </w:r>
      <w:r>
        <w:rPr>
          <w:rFonts w:hint="eastAsia"/>
          <w:b w:val="0"/>
          <w:bCs w:val="0"/>
          <w:color w:val="000000" w:themeColor="text1"/>
          <w:sz w:val="24"/>
          <w:highlight w:val="none"/>
          <w:lang w:val="zh-CN" w:eastAsia="zh-CN"/>
        </w:rPr>
        <w:t>《电磁环境控制限值》（GB8702-2014）中的（电场强度≤4000V/m；磁感应强度≤100μT）公众曝露控制限值。</w:t>
      </w:r>
      <w:r>
        <w:rPr>
          <w:rFonts w:hint="eastAsia"/>
          <w:b w:val="0"/>
          <w:bCs w:val="0"/>
          <w:color w:val="000000" w:themeColor="text1"/>
          <w:sz w:val="24"/>
          <w:highlight w:val="none"/>
          <w:lang w:val="en-US" w:eastAsia="zh-CN"/>
        </w:rPr>
        <w:t>本次扩建间隔各设备的工频电场、工频磁场值都较小，扩建间隔对库米什变电站工频电场强度、工频磁感应强度基本无影响。</w:t>
      </w:r>
    </w:p>
    <w:p w14:paraId="38899171">
      <w:pPr>
        <w:pStyle w:val="3"/>
        <w:rPr>
          <w:rFonts w:ascii="宋体" w:hAnsi="宋体" w:eastAsia="宋体"/>
          <w:sz w:val="24"/>
          <w:szCs w:val="24"/>
        </w:rPr>
      </w:pPr>
      <w:r>
        <w:rPr>
          <w:rFonts w:ascii="Times New Roman" w:hAnsi="Times New Roman" w:eastAsia="宋体"/>
          <w:kern w:val="44"/>
          <w:sz w:val="24"/>
          <w:szCs w:val="24"/>
        </w:rPr>
        <w:t>3.1</w:t>
      </w:r>
      <w:r>
        <w:rPr>
          <w:rFonts w:ascii="宋体" w:hAnsi="宋体" w:eastAsia="宋体"/>
          <w:sz w:val="24"/>
          <w:szCs w:val="24"/>
        </w:rPr>
        <w:t xml:space="preserve"> </w:t>
      </w:r>
      <w:r>
        <w:rPr>
          <w:rFonts w:hint="eastAsia" w:ascii="Times New Roman" w:hAnsi="Times New Roman" w:eastAsia="宋体"/>
          <w:kern w:val="44"/>
          <w:sz w:val="24"/>
          <w:szCs w:val="24"/>
        </w:rPr>
        <w:t>220kV</w:t>
      </w:r>
      <w:r>
        <w:rPr>
          <w:rFonts w:hint="eastAsia" w:ascii="宋体" w:hAnsi="宋体" w:eastAsia="宋体"/>
          <w:sz w:val="24"/>
          <w:szCs w:val="24"/>
        </w:rPr>
        <w:t>升压站电磁环境影响预测</w:t>
      </w:r>
    </w:p>
    <w:p w14:paraId="740F1A46">
      <w:pPr>
        <w:spacing w:line="360" w:lineRule="auto"/>
        <w:rPr>
          <w:b/>
          <w:bCs/>
          <w:sz w:val="24"/>
        </w:rPr>
      </w:pPr>
      <w:r>
        <w:rPr>
          <w:rFonts w:hint="eastAsia"/>
          <w:b/>
          <w:bCs/>
          <w:kern w:val="44"/>
          <w:sz w:val="24"/>
        </w:rPr>
        <w:t>3.1.1</w:t>
      </w:r>
      <w:r>
        <w:rPr>
          <w:rFonts w:hint="eastAsia" w:ascii="宋体" w:hAnsi="宋体"/>
          <w:b/>
          <w:bCs/>
          <w:sz w:val="24"/>
        </w:rPr>
        <w:t xml:space="preserve"> 类比的可行性</w:t>
      </w:r>
    </w:p>
    <w:p w14:paraId="3E800ECA">
      <w:pPr>
        <w:spacing w:line="360" w:lineRule="auto"/>
        <w:ind w:firstLine="480" w:firstLineChars="200"/>
        <w:rPr>
          <w:rFonts w:hAnsi="宋体"/>
          <w:sz w:val="24"/>
        </w:rPr>
      </w:pPr>
      <w:r>
        <w:rPr>
          <w:rFonts w:hAnsi="宋体"/>
          <w:sz w:val="24"/>
        </w:rPr>
        <w:t>本次评价</w:t>
      </w:r>
      <w:r>
        <w:rPr>
          <w:rFonts w:hint="eastAsia" w:hAnsi="宋体"/>
          <w:sz w:val="24"/>
        </w:rPr>
        <w:t>升压站</w:t>
      </w:r>
      <w:r>
        <w:rPr>
          <w:rFonts w:hAnsi="宋体"/>
          <w:sz w:val="24"/>
        </w:rPr>
        <w:t>的电磁环境影响评价预测采用类比监测的方法进行，按照类似工程的主变规模、电压等级、布置形式等原则，现以已运行的</w:t>
      </w:r>
      <w:r>
        <w:rPr>
          <w:rFonts w:hint="eastAsia" w:hAnsi="宋体"/>
          <w:sz w:val="24"/>
        </w:rPr>
        <w:t>《中核伊宁县220kV汇集站项目竣工环境保护验收调查报告表》</w:t>
      </w:r>
      <w:r>
        <w:rPr>
          <w:rFonts w:hAnsi="宋体"/>
          <w:sz w:val="24"/>
        </w:rPr>
        <w:t>作为类比对象，该</w:t>
      </w:r>
      <w:r>
        <w:rPr>
          <w:rFonts w:hint="eastAsia" w:hAnsi="宋体"/>
          <w:sz w:val="24"/>
        </w:rPr>
        <w:t>项目汇集站</w:t>
      </w:r>
      <w:r>
        <w:rPr>
          <w:rFonts w:hAnsi="宋体"/>
          <w:sz w:val="24"/>
        </w:rPr>
        <w:t>主变压器容量为</w:t>
      </w:r>
      <w:r>
        <w:rPr>
          <w:rFonts w:hint="eastAsia" w:hAnsi="宋体"/>
          <w:sz w:val="24"/>
        </w:rPr>
        <w:t>1</w:t>
      </w:r>
      <w:r>
        <w:rPr>
          <w:rFonts w:hAnsi="宋体"/>
          <w:sz w:val="24"/>
        </w:rPr>
        <w:t>×</w:t>
      </w:r>
      <w:r>
        <w:rPr>
          <w:rFonts w:hint="eastAsia" w:hAnsi="宋体"/>
          <w:sz w:val="24"/>
        </w:rPr>
        <w:t>24</w:t>
      </w:r>
      <w:r>
        <w:rPr>
          <w:rFonts w:hAnsi="宋体"/>
          <w:sz w:val="24"/>
        </w:rPr>
        <w:t>0MVA</w:t>
      </w:r>
      <w:r>
        <w:rPr>
          <w:rFonts w:hint="eastAsia" w:hAnsi="宋体"/>
          <w:sz w:val="24"/>
        </w:rPr>
        <w:t>，</w:t>
      </w:r>
      <w:r>
        <w:rPr>
          <w:rFonts w:hAnsi="宋体"/>
          <w:sz w:val="24"/>
        </w:rPr>
        <w:t>电压等级为</w:t>
      </w:r>
      <w:r>
        <w:rPr>
          <w:rFonts w:hint="eastAsia" w:hAnsi="宋体"/>
          <w:sz w:val="24"/>
        </w:rPr>
        <w:t>22</w:t>
      </w:r>
      <w:r>
        <w:rPr>
          <w:rFonts w:hAnsi="宋体"/>
          <w:sz w:val="24"/>
        </w:rPr>
        <w:t>0</w:t>
      </w:r>
      <w:r>
        <w:rPr>
          <w:rFonts w:hint="eastAsia" w:hAnsi="宋体"/>
          <w:sz w:val="24"/>
        </w:rPr>
        <w:t>kV</w:t>
      </w:r>
      <w:r>
        <w:rPr>
          <w:rFonts w:hAnsi="宋体"/>
          <w:sz w:val="24"/>
        </w:rPr>
        <w:t>，为户外布置形式。</w:t>
      </w:r>
    </w:p>
    <w:p w14:paraId="0E7ABC20">
      <w:pPr>
        <w:spacing w:line="360" w:lineRule="auto"/>
        <w:ind w:firstLine="570"/>
        <w:rPr>
          <w:rFonts w:hAnsi="宋体"/>
          <w:b/>
          <w:snapToGrid w:val="0"/>
          <w:color w:val="FF0000"/>
          <w:sz w:val="24"/>
        </w:rPr>
      </w:pPr>
      <w:r>
        <w:rPr>
          <w:rFonts w:hAnsi="宋体"/>
          <w:sz w:val="24"/>
        </w:rPr>
        <w:t>类比</w:t>
      </w:r>
      <w:r>
        <w:rPr>
          <w:rFonts w:hint="eastAsia" w:hAnsi="宋体"/>
          <w:sz w:val="24"/>
        </w:rPr>
        <w:t>汇集站</w:t>
      </w:r>
      <w:r>
        <w:rPr>
          <w:rFonts w:hAnsi="宋体"/>
          <w:sz w:val="24"/>
        </w:rPr>
        <w:t>与本项目</w:t>
      </w:r>
      <w:r>
        <w:rPr>
          <w:rFonts w:hint="eastAsia" w:hAnsi="宋体"/>
          <w:sz w:val="24"/>
        </w:rPr>
        <w:t>升压站</w:t>
      </w:r>
      <w:r>
        <w:rPr>
          <w:rFonts w:hAnsi="宋体"/>
          <w:sz w:val="24"/>
        </w:rPr>
        <w:t>主要技术参数对照，见表3</w:t>
      </w:r>
      <w:r>
        <w:rPr>
          <w:rFonts w:hint="eastAsia" w:hAnsi="宋体"/>
          <w:sz w:val="24"/>
        </w:rPr>
        <w:t>.1</w:t>
      </w:r>
      <w:r>
        <w:rPr>
          <w:rFonts w:hAnsi="宋体"/>
          <w:sz w:val="24"/>
        </w:rPr>
        <w:t>-1</w:t>
      </w:r>
      <w:r>
        <w:rPr>
          <w:rFonts w:hint="eastAsia" w:hAnsi="宋体"/>
          <w:sz w:val="24"/>
        </w:rPr>
        <w:t>。</w:t>
      </w:r>
    </w:p>
    <w:p w14:paraId="5C4EECCB">
      <w:pPr>
        <w:adjustRightInd w:val="0"/>
        <w:snapToGrid w:val="0"/>
        <w:ind w:left="359" w:leftChars="171" w:firstLine="211" w:firstLineChars="100"/>
        <w:jc w:val="center"/>
        <w:rPr>
          <w:rFonts w:hAnsi="宋体"/>
          <w:b/>
          <w:snapToGrid w:val="0"/>
          <w:sz w:val="21"/>
          <w:szCs w:val="21"/>
        </w:rPr>
      </w:pPr>
      <w:r>
        <w:rPr>
          <w:rFonts w:hAnsi="宋体"/>
          <w:b/>
          <w:snapToGrid w:val="0"/>
          <w:sz w:val="21"/>
          <w:szCs w:val="21"/>
        </w:rPr>
        <w:t>表3</w:t>
      </w:r>
      <w:r>
        <w:rPr>
          <w:rFonts w:hint="eastAsia" w:hAnsi="宋体"/>
          <w:b/>
          <w:snapToGrid w:val="0"/>
          <w:sz w:val="21"/>
          <w:szCs w:val="21"/>
        </w:rPr>
        <w:t>.1</w:t>
      </w:r>
      <w:r>
        <w:rPr>
          <w:rFonts w:hAnsi="宋体"/>
          <w:b/>
          <w:snapToGrid w:val="0"/>
          <w:sz w:val="21"/>
          <w:szCs w:val="21"/>
        </w:rPr>
        <w:t>-1</w:t>
      </w:r>
      <w:r>
        <w:rPr>
          <w:rFonts w:hint="eastAsia" w:hAnsi="宋体"/>
          <w:b/>
          <w:snapToGrid w:val="0"/>
          <w:sz w:val="21"/>
          <w:szCs w:val="21"/>
          <w:lang w:val="en-US" w:eastAsia="zh-CN"/>
        </w:rPr>
        <w:t xml:space="preserve"> </w:t>
      </w:r>
      <w:r>
        <w:rPr>
          <w:rFonts w:hAnsi="宋体"/>
          <w:b/>
          <w:snapToGrid w:val="0"/>
          <w:sz w:val="21"/>
          <w:szCs w:val="21"/>
        </w:rPr>
        <w:t xml:space="preserve">  主要技术指标对照表</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183"/>
        <w:gridCol w:w="3699"/>
        <w:gridCol w:w="3640"/>
      </w:tblGrid>
      <w:tr w14:paraId="171C6F4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94" w:type="pct"/>
            <w:vAlign w:val="center"/>
          </w:tcPr>
          <w:p w14:paraId="563BADA6">
            <w:pPr>
              <w:keepNext w:val="0"/>
              <w:keepLines w:val="0"/>
              <w:suppressLineNumbers w:val="0"/>
              <w:spacing w:before="0" w:beforeLines="20" w:beforeAutospacing="0" w:after="0" w:afterLines="20" w:afterAutospacing="0" w:line="240" w:lineRule="atLeast"/>
              <w:ind w:left="0" w:right="0"/>
              <w:jc w:val="center"/>
              <w:rPr>
                <w:szCs w:val="21"/>
              </w:rPr>
            </w:pPr>
            <w:r>
              <w:rPr>
                <w:szCs w:val="21"/>
              </w:rPr>
              <w:t>主要指标</w:t>
            </w:r>
          </w:p>
        </w:tc>
        <w:tc>
          <w:tcPr>
            <w:tcW w:w="2170" w:type="pct"/>
            <w:vAlign w:val="center"/>
          </w:tcPr>
          <w:p w14:paraId="1BAA54A7">
            <w:pPr>
              <w:keepNext w:val="0"/>
              <w:keepLines w:val="0"/>
              <w:suppressLineNumbers w:val="0"/>
              <w:spacing w:before="0" w:beforeAutospacing="0" w:after="0" w:afterAutospacing="0" w:line="240" w:lineRule="atLeast"/>
              <w:ind w:left="0" w:right="0"/>
              <w:jc w:val="center"/>
              <w:rPr>
                <w:szCs w:val="21"/>
              </w:rPr>
            </w:pPr>
            <w:r>
              <w:rPr>
                <w:szCs w:val="21"/>
              </w:rPr>
              <w:t>中核伊宁县220kV汇集站</w:t>
            </w:r>
          </w:p>
        </w:tc>
        <w:tc>
          <w:tcPr>
            <w:tcW w:w="2135" w:type="pct"/>
            <w:vAlign w:val="center"/>
          </w:tcPr>
          <w:p w14:paraId="5E85DB1A">
            <w:pPr>
              <w:keepNext w:val="0"/>
              <w:keepLines w:val="0"/>
              <w:suppressLineNumbers w:val="0"/>
              <w:spacing w:before="0" w:beforeAutospacing="0" w:after="0" w:afterAutospacing="0" w:line="240" w:lineRule="atLeast"/>
              <w:ind w:left="0" w:right="0"/>
              <w:jc w:val="center"/>
              <w:rPr>
                <w:szCs w:val="21"/>
              </w:rPr>
            </w:pPr>
            <w:r>
              <w:rPr>
                <w:szCs w:val="21"/>
              </w:rPr>
              <w:t>本项目</w:t>
            </w:r>
          </w:p>
        </w:tc>
      </w:tr>
      <w:tr w14:paraId="5E8DAD3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94" w:type="pct"/>
            <w:vAlign w:val="center"/>
          </w:tcPr>
          <w:p w14:paraId="3EDC9C88">
            <w:pPr>
              <w:keepNext w:val="0"/>
              <w:keepLines w:val="0"/>
              <w:suppressLineNumbers w:val="0"/>
              <w:spacing w:before="0" w:beforeLines="20" w:beforeAutospacing="0" w:after="0" w:afterLines="20" w:afterAutospacing="0" w:line="240" w:lineRule="atLeast"/>
              <w:ind w:left="0" w:right="0"/>
              <w:jc w:val="center"/>
              <w:rPr>
                <w:szCs w:val="21"/>
              </w:rPr>
            </w:pPr>
            <w:r>
              <w:rPr>
                <w:szCs w:val="21"/>
              </w:rPr>
              <w:t>主变规模</w:t>
            </w:r>
          </w:p>
        </w:tc>
        <w:tc>
          <w:tcPr>
            <w:tcW w:w="2170" w:type="pct"/>
            <w:vAlign w:val="center"/>
          </w:tcPr>
          <w:p w14:paraId="284CEB03">
            <w:pPr>
              <w:keepNext w:val="0"/>
              <w:keepLines w:val="0"/>
              <w:suppressLineNumbers w:val="0"/>
              <w:spacing w:before="0" w:beforeAutospacing="0" w:after="0" w:afterAutospacing="0" w:line="240" w:lineRule="atLeast"/>
              <w:ind w:left="0" w:right="0"/>
              <w:jc w:val="center"/>
              <w:rPr>
                <w:szCs w:val="21"/>
              </w:rPr>
            </w:pPr>
            <w:r>
              <w:rPr>
                <w:szCs w:val="21"/>
              </w:rPr>
              <w:t>1×240MVA</w:t>
            </w:r>
          </w:p>
        </w:tc>
        <w:tc>
          <w:tcPr>
            <w:tcW w:w="2135" w:type="pct"/>
            <w:vAlign w:val="center"/>
          </w:tcPr>
          <w:p w14:paraId="6CC42BC8">
            <w:pPr>
              <w:keepNext w:val="0"/>
              <w:keepLines w:val="0"/>
              <w:suppressLineNumbers w:val="0"/>
              <w:spacing w:before="0" w:beforeAutospacing="0" w:after="0" w:afterAutospacing="0" w:line="240" w:lineRule="atLeast"/>
              <w:ind w:left="0" w:right="0"/>
              <w:jc w:val="center"/>
              <w:rPr>
                <w:szCs w:val="21"/>
              </w:rPr>
            </w:pPr>
            <w:r>
              <w:rPr>
                <w:szCs w:val="21"/>
              </w:rPr>
              <w:t>1×240MVA</w:t>
            </w:r>
          </w:p>
        </w:tc>
      </w:tr>
      <w:tr w14:paraId="4D92702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94" w:type="pct"/>
            <w:vAlign w:val="center"/>
          </w:tcPr>
          <w:p w14:paraId="63534FDC">
            <w:pPr>
              <w:keepNext w:val="0"/>
              <w:keepLines w:val="0"/>
              <w:suppressLineNumbers w:val="0"/>
              <w:spacing w:before="0" w:beforeLines="20" w:beforeAutospacing="0" w:after="0" w:afterLines="20" w:afterAutospacing="0" w:line="240" w:lineRule="atLeast"/>
              <w:ind w:left="0" w:right="0"/>
              <w:jc w:val="center"/>
              <w:rPr>
                <w:szCs w:val="21"/>
              </w:rPr>
            </w:pPr>
            <w:r>
              <w:rPr>
                <w:szCs w:val="21"/>
              </w:rPr>
              <w:t>主变型号</w:t>
            </w:r>
          </w:p>
        </w:tc>
        <w:tc>
          <w:tcPr>
            <w:tcW w:w="2170" w:type="pct"/>
            <w:vAlign w:val="center"/>
          </w:tcPr>
          <w:p w14:paraId="62AB32E3">
            <w:pPr>
              <w:keepNext w:val="0"/>
              <w:keepLines w:val="0"/>
              <w:suppressLineNumbers w:val="0"/>
              <w:spacing w:before="0" w:beforeAutospacing="0" w:after="0" w:afterAutospacing="0" w:line="240" w:lineRule="atLeast"/>
              <w:ind w:left="0" w:right="0"/>
              <w:jc w:val="center"/>
              <w:rPr>
                <w:szCs w:val="21"/>
              </w:rPr>
            </w:pPr>
            <w:r>
              <w:rPr>
                <w:szCs w:val="21"/>
              </w:rPr>
              <w:t>主变型号为SSZ11-240000/200，电压比</w:t>
            </w:r>
          </w:p>
          <w:p w14:paraId="69FAE608">
            <w:pPr>
              <w:keepNext w:val="0"/>
              <w:keepLines w:val="0"/>
              <w:suppressLineNumbers w:val="0"/>
              <w:spacing w:before="0" w:beforeAutospacing="0" w:after="0" w:afterAutospacing="0" w:line="240" w:lineRule="atLeast"/>
              <w:ind w:left="0" w:right="0"/>
              <w:jc w:val="center"/>
              <w:rPr>
                <w:szCs w:val="21"/>
              </w:rPr>
            </w:pPr>
            <w:r>
              <w:rPr>
                <w:szCs w:val="21"/>
              </w:rPr>
              <w:t>242±8×1.25%/115±2×2.5%/36.5kV，容量比100/100/100</w:t>
            </w:r>
          </w:p>
        </w:tc>
        <w:tc>
          <w:tcPr>
            <w:tcW w:w="2135" w:type="pct"/>
            <w:vAlign w:val="center"/>
          </w:tcPr>
          <w:p w14:paraId="56CDE51F">
            <w:pPr>
              <w:keepNext w:val="0"/>
              <w:keepLines w:val="0"/>
              <w:suppressLineNumbers w:val="0"/>
              <w:spacing w:before="0" w:beforeAutospacing="0" w:after="0" w:afterAutospacing="0" w:line="240" w:lineRule="atLeast"/>
              <w:ind w:left="0" w:right="0"/>
              <w:jc w:val="center"/>
              <w:rPr>
                <w:szCs w:val="21"/>
              </w:rPr>
            </w:pPr>
            <w:r>
              <w:rPr>
                <w:szCs w:val="21"/>
              </w:rPr>
              <w:t>选择三相三卷有载调压变压器;电压比:242±8x1.25%115±2x2.5%36.5kV，容量比:100%/100%/100%</w:t>
            </w:r>
          </w:p>
        </w:tc>
      </w:tr>
      <w:tr w14:paraId="32F134B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94" w:type="pct"/>
            <w:vAlign w:val="center"/>
          </w:tcPr>
          <w:p w14:paraId="2C055399">
            <w:pPr>
              <w:keepNext w:val="0"/>
              <w:keepLines w:val="0"/>
              <w:suppressLineNumbers w:val="0"/>
              <w:spacing w:before="0" w:beforeLines="20" w:beforeAutospacing="0" w:after="0" w:afterLines="20" w:afterAutospacing="0" w:line="240" w:lineRule="atLeast"/>
              <w:ind w:left="0" w:right="0"/>
              <w:jc w:val="center"/>
              <w:rPr>
                <w:szCs w:val="21"/>
              </w:rPr>
            </w:pPr>
            <w:r>
              <w:rPr>
                <w:szCs w:val="21"/>
              </w:rPr>
              <w:t>电压等级</w:t>
            </w:r>
          </w:p>
        </w:tc>
        <w:tc>
          <w:tcPr>
            <w:tcW w:w="2170" w:type="pct"/>
            <w:vAlign w:val="center"/>
          </w:tcPr>
          <w:p w14:paraId="0041B2D5">
            <w:pPr>
              <w:keepNext w:val="0"/>
              <w:keepLines w:val="0"/>
              <w:suppressLineNumbers w:val="0"/>
              <w:spacing w:before="0" w:beforeAutospacing="0" w:after="0" w:afterAutospacing="0" w:line="240" w:lineRule="atLeast"/>
              <w:ind w:left="0" w:right="0"/>
              <w:jc w:val="center"/>
              <w:rPr>
                <w:szCs w:val="21"/>
              </w:rPr>
            </w:pPr>
            <w:r>
              <w:rPr>
                <w:szCs w:val="21"/>
              </w:rPr>
              <w:t>220kV</w:t>
            </w:r>
          </w:p>
        </w:tc>
        <w:tc>
          <w:tcPr>
            <w:tcW w:w="2135" w:type="pct"/>
            <w:vAlign w:val="center"/>
          </w:tcPr>
          <w:p w14:paraId="32E04A67">
            <w:pPr>
              <w:keepNext w:val="0"/>
              <w:keepLines w:val="0"/>
              <w:suppressLineNumbers w:val="0"/>
              <w:spacing w:before="0" w:beforeAutospacing="0" w:after="0" w:afterAutospacing="0" w:line="240" w:lineRule="atLeast"/>
              <w:ind w:left="0" w:right="0"/>
              <w:jc w:val="center"/>
              <w:rPr>
                <w:szCs w:val="21"/>
              </w:rPr>
            </w:pPr>
            <w:r>
              <w:rPr>
                <w:szCs w:val="21"/>
              </w:rPr>
              <w:t>220kV</w:t>
            </w:r>
          </w:p>
        </w:tc>
      </w:tr>
      <w:tr w14:paraId="73C3C87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694" w:type="pct"/>
            <w:vAlign w:val="center"/>
          </w:tcPr>
          <w:p w14:paraId="7F03F003">
            <w:pPr>
              <w:keepNext w:val="0"/>
              <w:keepLines w:val="0"/>
              <w:suppressLineNumbers w:val="0"/>
              <w:spacing w:before="0" w:beforeAutospacing="0" w:after="0" w:afterAutospacing="0" w:line="240" w:lineRule="atLeast"/>
              <w:ind w:left="0" w:right="0"/>
              <w:jc w:val="center"/>
              <w:rPr>
                <w:szCs w:val="21"/>
              </w:rPr>
            </w:pPr>
            <w:r>
              <w:rPr>
                <w:szCs w:val="21"/>
              </w:rPr>
              <w:t>主变布置形式</w:t>
            </w:r>
          </w:p>
        </w:tc>
        <w:tc>
          <w:tcPr>
            <w:tcW w:w="2170" w:type="pct"/>
            <w:vAlign w:val="center"/>
          </w:tcPr>
          <w:p w14:paraId="43E5DB11">
            <w:pPr>
              <w:keepNext w:val="0"/>
              <w:keepLines w:val="0"/>
              <w:suppressLineNumbers w:val="0"/>
              <w:spacing w:before="0" w:beforeAutospacing="0" w:after="0" w:afterAutospacing="0" w:line="240" w:lineRule="atLeast"/>
              <w:ind w:left="0" w:right="0"/>
              <w:jc w:val="center"/>
              <w:rPr>
                <w:szCs w:val="21"/>
              </w:rPr>
            </w:pPr>
            <w:r>
              <w:rPr>
                <w:szCs w:val="21"/>
              </w:rPr>
              <w:t>主变户外布置</w:t>
            </w:r>
          </w:p>
        </w:tc>
        <w:tc>
          <w:tcPr>
            <w:tcW w:w="2135" w:type="pct"/>
            <w:vAlign w:val="center"/>
          </w:tcPr>
          <w:p w14:paraId="40B09B61">
            <w:pPr>
              <w:keepNext w:val="0"/>
              <w:keepLines w:val="0"/>
              <w:suppressLineNumbers w:val="0"/>
              <w:spacing w:before="0" w:beforeAutospacing="0" w:after="0" w:afterAutospacing="0" w:line="240" w:lineRule="atLeast"/>
              <w:ind w:left="0" w:right="0"/>
              <w:jc w:val="center"/>
              <w:rPr>
                <w:szCs w:val="21"/>
              </w:rPr>
            </w:pPr>
            <w:r>
              <w:rPr>
                <w:szCs w:val="21"/>
              </w:rPr>
              <w:t>主变户外布置</w:t>
            </w:r>
          </w:p>
        </w:tc>
      </w:tr>
      <w:tr w14:paraId="4400283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694" w:type="pct"/>
            <w:vAlign w:val="center"/>
          </w:tcPr>
          <w:p w14:paraId="72DCB15A">
            <w:pPr>
              <w:keepNext w:val="0"/>
              <w:keepLines w:val="0"/>
              <w:suppressLineNumbers w:val="0"/>
              <w:spacing w:before="0" w:beforeAutospacing="0" w:after="0" w:afterAutospacing="0" w:line="240" w:lineRule="atLeast"/>
              <w:ind w:left="0" w:right="0"/>
              <w:jc w:val="center"/>
              <w:rPr>
                <w:szCs w:val="21"/>
              </w:rPr>
            </w:pPr>
            <w:r>
              <w:rPr>
                <w:szCs w:val="21"/>
              </w:rPr>
              <w:t>占地面积</w:t>
            </w:r>
          </w:p>
        </w:tc>
        <w:tc>
          <w:tcPr>
            <w:tcW w:w="2170" w:type="pct"/>
            <w:vAlign w:val="center"/>
          </w:tcPr>
          <w:p w14:paraId="32F66099">
            <w:pPr>
              <w:keepNext w:val="0"/>
              <w:keepLines w:val="0"/>
              <w:suppressLineNumbers w:val="0"/>
              <w:spacing w:before="0" w:beforeAutospacing="0" w:after="0" w:afterAutospacing="0" w:line="240" w:lineRule="atLeast"/>
              <w:ind w:left="0" w:right="0"/>
              <w:jc w:val="center"/>
              <w:rPr>
                <w:szCs w:val="21"/>
              </w:rPr>
            </w:pPr>
            <w:r>
              <w:rPr>
                <w:szCs w:val="21"/>
              </w:rPr>
              <w:t>15335</w:t>
            </w:r>
            <w:r>
              <w:rPr>
                <w:rFonts w:hint="eastAsia"/>
                <w:szCs w:val="21"/>
                <w:lang w:val="en-US" w:eastAsia="zh-CN"/>
              </w:rPr>
              <w:t>m</w:t>
            </w:r>
            <w:r>
              <w:rPr>
                <w:rFonts w:hint="eastAsia"/>
                <w:szCs w:val="21"/>
                <w:vertAlign w:val="superscript"/>
                <w:lang w:val="en-US" w:eastAsia="zh-CN"/>
              </w:rPr>
              <w:t>2</w:t>
            </w:r>
          </w:p>
        </w:tc>
        <w:tc>
          <w:tcPr>
            <w:tcW w:w="2135" w:type="pct"/>
            <w:vAlign w:val="center"/>
          </w:tcPr>
          <w:p w14:paraId="6EAA8F33">
            <w:pPr>
              <w:keepNext w:val="0"/>
              <w:keepLines w:val="0"/>
              <w:suppressLineNumbers w:val="0"/>
              <w:spacing w:before="0" w:beforeAutospacing="0" w:after="0" w:afterAutospacing="0" w:line="240" w:lineRule="atLeast"/>
              <w:ind w:left="0" w:right="0"/>
              <w:jc w:val="center"/>
              <w:rPr>
                <w:rFonts w:hint="default" w:eastAsia="宋体"/>
                <w:szCs w:val="21"/>
                <w:lang w:val="en-US" w:eastAsia="zh-CN"/>
              </w:rPr>
            </w:pPr>
            <w:r>
              <w:rPr>
                <w:rFonts w:hint="eastAsia"/>
                <w:color w:val="000000" w:themeColor="text1"/>
                <w:szCs w:val="21"/>
              </w:rPr>
              <w:t>22513</w:t>
            </w:r>
            <w:r>
              <w:rPr>
                <w:rFonts w:hint="eastAsia"/>
                <w:color w:val="000000" w:themeColor="text1"/>
                <w:szCs w:val="21"/>
                <w:lang w:val="en-US" w:eastAsia="zh-CN"/>
              </w:rPr>
              <w:t>m</w:t>
            </w:r>
            <w:r>
              <w:rPr>
                <w:rFonts w:hint="eastAsia"/>
                <w:color w:val="000000" w:themeColor="text1"/>
                <w:szCs w:val="21"/>
                <w:vertAlign w:val="superscript"/>
                <w:lang w:val="en-US" w:eastAsia="zh-CN"/>
              </w:rPr>
              <w:t>2</w:t>
            </w:r>
          </w:p>
        </w:tc>
      </w:tr>
      <w:tr w14:paraId="7D4D07D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694" w:type="pct"/>
            <w:vAlign w:val="center"/>
          </w:tcPr>
          <w:p w14:paraId="7F3C49F1">
            <w:pPr>
              <w:keepNext w:val="0"/>
              <w:keepLines w:val="0"/>
              <w:suppressLineNumbers w:val="0"/>
              <w:spacing w:before="0" w:beforeAutospacing="0" w:after="0" w:afterAutospacing="0" w:line="240" w:lineRule="atLeast"/>
              <w:ind w:left="0" w:right="0"/>
              <w:jc w:val="center"/>
              <w:rPr>
                <w:szCs w:val="21"/>
              </w:rPr>
            </w:pPr>
            <w:r>
              <w:rPr>
                <w:szCs w:val="21"/>
              </w:rPr>
              <w:t>变电站类型</w:t>
            </w:r>
          </w:p>
        </w:tc>
        <w:tc>
          <w:tcPr>
            <w:tcW w:w="2170" w:type="pct"/>
            <w:vAlign w:val="center"/>
          </w:tcPr>
          <w:p w14:paraId="5561C793">
            <w:pPr>
              <w:keepNext w:val="0"/>
              <w:keepLines w:val="0"/>
              <w:suppressLineNumbers w:val="0"/>
              <w:spacing w:before="0" w:beforeAutospacing="0" w:after="0" w:afterAutospacing="0" w:line="240" w:lineRule="atLeast"/>
              <w:ind w:left="0" w:right="0"/>
              <w:jc w:val="center"/>
              <w:rPr>
                <w:szCs w:val="21"/>
              </w:rPr>
            </w:pPr>
            <w:r>
              <w:rPr>
                <w:szCs w:val="21"/>
              </w:rPr>
              <w:t>户外式</w:t>
            </w:r>
          </w:p>
        </w:tc>
        <w:tc>
          <w:tcPr>
            <w:tcW w:w="2135" w:type="pct"/>
            <w:vAlign w:val="center"/>
          </w:tcPr>
          <w:p w14:paraId="070BDDF7">
            <w:pPr>
              <w:keepNext w:val="0"/>
              <w:keepLines w:val="0"/>
              <w:suppressLineNumbers w:val="0"/>
              <w:spacing w:before="0" w:beforeAutospacing="0" w:after="0" w:afterAutospacing="0" w:line="240" w:lineRule="atLeast"/>
              <w:ind w:left="0" w:right="0"/>
              <w:jc w:val="center"/>
              <w:rPr>
                <w:szCs w:val="21"/>
              </w:rPr>
            </w:pPr>
            <w:r>
              <w:rPr>
                <w:szCs w:val="21"/>
              </w:rPr>
              <w:t>户外式</w:t>
            </w:r>
          </w:p>
        </w:tc>
      </w:tr>
      <w:tr w14:paraId="6379825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694" w:type="pct"/>
            <w:vAlign w:val="center"/>
          </w:tcPr>
          <w:p w14:paraId="67B53533">
            <w:pPr>
              <w:keepNext w:val="0"/>
              <w:keepLines w:val="0"/>
              <w:suppressLineNumbers w:val="0"/>
              <w:spacing w:before="0" w:beforeAutospacing="0" w:after="0" w:afterAutospacing="0" w:line="240" w:lineRule="atLeast"/>
              <w:ind w:left="0" w:right="0"/>
              <w:jc w:val="center"/>
              <w:rPr>
                <w:szCs w:val="21"/>
              </w:rPr>
            </w:pPr>
            <w:r>
              <w:rPr>
                <w:szCs w:val="21"/>
              </w:rPr>
              <w:t>配电装置形式</w:t>
            </w:r>
          </w:p>
        </w:tc>
        <w:tc>
          <w:tcPr>
            <w:tcW w:w="2170" w:type="pct"/>
            <w:vAlign w:val="center"/>
          </w:tcPr>
          <w:p w14:paraId="1B8EF560">
            <w:pPr>
              <w:keepNext w:val="0"/>
              <w:keepLines w:val="0"/>
              <w:suppressLineNumbers w:val="0"/>
              <w:spacing w:before="0" w:beforeAutospacing="0" w:after="0" w:afterAutospacing="0" w:line="240" w:lineRule="atLeast"/>
              <w:ind w:left="0" w:right="0"/>
              <w:jc w:val="center"/>
              <w:rPr>
                <w:szCs w:val="21"/>
              </w:rPr>
            </w:pPr>
            <w:r>
              <w:rPr>
                <w:szCs w:val="21"/>
              </w:rPr>
              <w:t>GIS形式</w:t>
            </w:r>
          </w:p>
        </w:tc>
        <w:tc>
          <w:tcPr>
            <w:tcW w:w="2135" w:type="pct"/>
            <w:vAlign w:val="center"/>
          </w:tcPr>
          <w:p w14:paraId="5E632D03">
            <w:pPr>
              <w:keepNext w:val="0"/>
              <w:keepLines w:val="0"/>
              <w:suppressLineNumbers w:val="0"/>
              <w:spacing w:before="0" w:beforeAutospacing="0" w:after="0" w:afterAutospacing="0" w:line="240" w:lineRule="atLeast"/>
              <w:ind w:left="0" w:right="0"/>
              <w:jc w:val="center"/>
              <w:rPr>
                <w:szCs w:val="21"/>
              </w:rPr>
            </w:pPr>
            <w:r>
              <w:rPr>
                <w:szCs w:val="21"/>
              </w:rPr>
              <w:t>GIS形式</w:t>
            </w:r>
          </w:p>
        </w:tc>
      </w:tr>
      <w:tr w14:paraId="0CD818F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694" w:type="pct"/>
            <w:vAlign w:val="center"/>
          </w:tcPr>
          <w:p w14:paraId="50DAEFCE">
            <w:pPr>
              <w:keepNext w:val="0"/>
              <w:keepLines w:val="0"/>
              <w:suppressLineNumbers w:val="0"/>
              <w:spacing w:before="0" w:beforeAutospacing="0" w:after="0" w:afterAutospacing="0" w:line="240" w:lineRule="atLeast"/>
              <w:ind w:left="0" w:right="0"/>
              <w:jc w:val="center"/>
              <w:rPr>
                <w:szCs w:val="21"/>
              </w:rPr>
            </w:pPr>
            <w:r>
              <w:rPr>
                <w:szCs w:val="21"/>
              </w:rPr>
              <w:t>出线方式</w:t>
            </w:r>
          </w:p>
        </w:tc>
        <w:tc>
          <w:tcPr>
            <w:tcW w:w="2170" w:type="pct"/>
            <w:vAlign w:val="center"/>
          </w:tcPr>
          <w:p w14:paraId="0401FBD8">
            <w:pPr>
              <w:keepNext w:val="0"/>
              <w:keepLines w:val="0"/>
              <w:suppressLineNumbers w:val="0"/>
              <w:spacing w:before="0" w:beforeAutospacing="0" w:after="0" w:afterAutospacing="0" w:line="240" w:lineRule="atLeast"/>
              <w:ind w:left="0" w:right="0"/>
              <w:jc w:val="center"/>
              <w:rPr>
                <w:szCs w:val="21"/>
              </w:rPr>
            </w:pPr>
            <w:r>
              <w:rPr>
                <w:szCs w:val="21"/>
              </w:rPr>
              <w:t>架空</w:t>
            </w:r>
          </w:p>
        </w:tc>
        <w:tc>
          <w:tcPr>
            <w:tcW w:w="2135" w:type="pct"/>
            <w:vAlign w:val="center"/>
          </w:tcPr>
          <w:p w14:paraId="01314061">
            <w:pPr>
              <w:keepNext w:val="0"/>
              <w:keepLines w:val="0"/>
              <w:suppressLineNumbers w:val="0"/>
              <w:spacing w:before="0" w:beforeAutospacing="0" w:after="0" w:afterAutospacing="0" w:line="240" w:lineRule="atLeast"/>
              <w:ind w:left="0" w:right="0"/>
              <w:jc w:val="center"/>
              <w:rPr>
                <w:szCs w:val="21"/>
              </w:rPr>
            </w:pPr>
            <w:r>
              <w:rPr>
                <w:szCs w:val="21"/>
              </w:rPr>
              <w:t>架空</w:t>
            </w:r>
          </w:p>
        </w:tc>
      </w:tr>
      <w:tr w14:paraId="0BFF674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694" w:type="pct"/>
            <w:vAlign w:val="center"/>
          </w:tcPr>
          <w:p w14:paraId="67BEA430">
            <w:pPr>
              <w:keepNext w:val="0"/>
              <w:keepLines w:val="0"/>
              <w:suppressLineNumbers w:val="0"/>
              <w:spacing w:before="0" w:beforeAutospacing="0" w:after="0" w:afterAutospacing="0" w:line="240" w:lineRule="atLeast"/>
              <w:ind w:left="0" w:right="0"/>
              <w:jc w:val="center"/>
              <w:rPr>
                <w:szCs w:val="21"/>
              </w:rPr>
            </w:pPr>
            <w:r>
              <w:rPr>
                <w:szCs w:val="21"/>
              </w:rPr>
              <w:t>出线规模</w:t>
            </w:r>
          </w:p>
        </w:tc>
        <w:tc>
          <w:tcPr>
            <w:tcW w:w="2170" w:type="pct"/>
            <w:vAlign w:val="center"/>
          </w:tcPr>
          <w:p w14:paraId="3309B263">
            <w:pPr>
              <w:keepNext w:val="0"/>
              <w:keepLines w:val="0"/>
              <w:suppressLineNumbers w:val="0"/>
              <w:spacing w:before="0" w:beforeAutospacing="0" w:after="0" w:afterAutospacing="0" w:line="240" w:lineRule="atLeast"/>
              <w:ind w:left="0" w:right="0"/>
              <w:jc w:val="center"/>
              <w:rPr>
                <w:szCs w:val="21"/>
              </w:rPr>
            </w:pPr>
            <w:r>
              <w:rPr>
                <w:szCs w:val="21"/>
              </w:rPr>
              <w:t>1回</w:t>
            </w:r>
          </w:p>
        </w:tc>
        <w:tc>
          <w:tcPr>
            <w:tcW w:w="2135" w:type="pct"/>
            <w:vAlign w:val="center"/>
          </w:tcPr>
          <w:p w14:paraId="7B89299D">
            <w:pPr>
              <w:keepNext w:val="0"/>
              <w:keepLines w:val="0"/>
              <w:suppressLineNumbers w:val="0"/>
              <w:spacing w:before="0" w:beforeAutospacing="0" w:after="0" w:afterAutospacing="0" w:line="240" w:lineRule="atLeast"/>
              <w:ind w:left="0" w:right="0"/>
              <w:jc w:val="center"/>
              <w:rPr>
                <w:szCs w:val="21"/>
              </w:rPr>
            </w:pPr>
            <w:r>
              <w:rPr>
                <w:szCs w:val="21"/>
              </w:rPr>
              <w:t>1回</w:t>
            </w:r>
          </w:p>
        </w:tc>
      </w:tr>
    </w:tbl>
    <w:p w14:paraId="1024D828">
      <w:pPr>
        <w:snapToGrid w:val="0"/>
        <w:spacing w:line="490" w:lineRule="exact"/>
        <w:ind w:firstLine="480" w:firstLineChars="200"/>
        <w:rPr>
          <w:rFonts w:hAnsi="宋体"/>
          <w:sz w:val="24"/>
        </w:rPr>
      </w:pPr>
      <w:r>
        <w:rPr>
          <w:rFonts w:hint="eastAsia" w:hAnsi="宋体"/>
          <w:sz w:val="24"/>
        </w:rPr>
        <w:t>由表3.1-1对比分析，选取的类比汇集站与本工程升压站主变规模、主变布置形式、配电装置形式均一致，监测期间类比工程运行正常，能反映本工程对周围电磁环境影响程度，类比可行。</w:t>
      </w:r>
    </w:p>
    <w:p w14:paraId="477EA6AF">
      <w:pPr>
        <w:pStyle w:val="3"/>
        <w:spacing w:beforeLines="50"/>
        <w:rPr>
          <w:rFonts w:ascii="宋体" w:hAnsi="宋体" w:eastAsia="宋体"/>
          <w:sz w:val="24"/>
          <w:szCs w:val="24"/>
        </w:rPr>
      </w:pPr>
      <w:r>
        <w:rPr>
          <w:rFonts w:ascii="Times New Roman" w:hAnsi="Times New Roman" w:eastAsia="宋体"/>
          <w:sz w:val="24"/>
          <w:szCs w:val="24"/>
        </w:rPr>
        <w:t>3.1.2</w:t>
      </w:r>
      <w:r>
        <w:rPr>
          <w:rFonts w:hint="eastAsia" w:ascii="宋体" w:hAnsi="宋体" w:eastAsia="宋体"/>
          <w:sz w:val="24"/>
          <w:szCs w:val="24"/>
        </w:rPr>
        <w:t>工频电场强度和工频磁感应强度类比监测</w:t>
      </w:r>
    </w:p>
    <w:p w14:paraId="65EFABBD">
      <w:pPr>
        <w:tabs>
          <w:tab w:val="left" w:pos="8814"/>
        </w:tabs>
        <w:spacing w:line="360" w:lineRule="auto"/>
        <w:ind w:firstLine="480" w:firstLineChars="200"/>
        <w:rPr>
          <w:rFonts w:hAnsi="宋体"/>
          <w:sz w:val="24"/>
        </w:rPr>
      </w:pPr>
      <w:r>
        <w:rPr>
          <w:rFonts w:hAnsi="宋体"/>
          <w:sz w:val="24"/>
        </w:rPr>
        <w:t>根据检测报告，监测时间为</w:t>
      </w:r>
      <w:r>
        <w:rPr>
          <w:rFonts w:hint="eastAsia" w:hAnsi="宋体"/>
          <w:sz w:val="24"/>
        </w:rPr>
        <w:t>2023</w:t>
      </w:r>
      <w:r>
        <w:rPr>
          <w:rFonts w:hAnsi="宋体"/>
          <w:sz w:val="24"/>
        </w:rPr>
        <w:t>年</w:t>
      </w:r>
      <w:r>
        <w:rPr>
          <w:rFonts w:hint="eastAsia" w:hAnsi="宋体"/>
          <w:sz w:val="24"/>
        </w:rPr>
        <w:t>7</w:t>
      </w:r>
      <w:r>
        <w:rPr>
          <w:rFonts w:hAnsi="宋体"/>
          <w:sz w:val="24"/>
        </w:rPr>
        <w:t>月</w:t>
      </w:r>
      <w:r>
        <w:rPr>
          <w:rFonts w:hint="eastAsia" w:hAnsi="宋体"/>
          <w:sz w:val="24"/>
        </w:rPr>
        <w:t>30</w:t>
      </w:r>
      <w:r>
        <w:rPr>
          <w:rFonts w:hAnsi="宋体"/>
          <w:sz w:val="24"/>
        </w:rPr>
        <w:t>日进行，监测时气象条件为</w:t>
      </w:r>
      <w:r>
        <w:rPr>
          <w:rFonts w:hint="eastAsia" w:hAnsi="宋体"/>
          <w:sz w:val="24"/>
        </w:rPr>
        <w:t>：</w:t>
      </w:r>
      <w:r>
        <w:rPr>
          <w:rFonts w:hAnsi="宋体"/>
          <w:sz w:val="24"/>
        </w:rPr>
        <w:t>晴，风速</w:t>
      </w:r>
      <w:r>
        <w:rPr>
          <w:rFonts w:hint="eastAsia" w:hAnsi="宋体"/>
          <w:sz w:val="24"/>
        </w:rPr>
        <w:t>2.1</w:t>
      </w:r>
      <w:r>
        <w:rPr>
          <w:rFonts w:hAnsi="宋体"/>
          <w:sz w:val="24"/>
        </w:rPr>
        <w:t>m/s，监测单位为</w:t>
      </w:r>
      <w:r>
        <w:rPr>
          <w:rFonts w:hint="eastAsia" w:hAnsi="宋体"/>
          <w:sz w:val="24"/>
        </w:rPr>
        <w:t>新疆天辰环境技术有限公司</w:t>
      </w:r>
      <w:r>
        <w:rPr>
          <w:rFonts w:hAnsi="宋体"/>
          <w:sz w:val="24"/>
        </w:rPr>
        <w:t>。</w:t>
      </w:r>
    </w:p>
    <w:p w14:paraId="2EE7EF62">
      <w:pPr>
        <w:spacing w:line="360" w:lineRule="auto"/>
        <w:ind w:firstLine="360" w:firstLineChars="150"/>
        <w:rPr>
          <w:rFonts w:hAnsi="宋体"/>
          <w:sz w:val="24"/>
        </w:rPr>
      </w:pPr>
      <w:r>
        <w:rPr>
          <w:rFonts w:hAnsi="宋体"/>
          <w:sz w:val="24"/>
        </w:rPr>
        <w:t>监测因子、监测设备见表3</w:t>
      </w:r>
      <w:r>
        <w:rPr>
          <w:rFonts w:hint="eastAsia" w:hAnsi="宋体"/>
          <w:sz w:val="24"/>
        </w:rPr>
        <w:t>.2</w:t>
      </w:r>
      <w:r>
        <w:rPr>
          <w:rFonts w:hAnsi="宋体"/>
          <w:sz w:val="24"/>
        </w:rPr>
        <w:t>-</w:t>
      </w:r>
      <w:r>
        <w:rPr>
          <w:rFonts w:hint="eastAsia" w:hAnsi="宋体"/>
          <w:sz w:val="24"/>
        </w:rPr>
        <w:t>1</w:t>
      </w:r>
      <w:r>
        <w:rPr>
          <w:rFonts w:hAnsi="宋体"/>
          <w:sz w:val="24"/>
        </w:rPr>
        <w:t>。</w:t>
      </w:r>
    </w:p>
    <w:p w14:paraId="5E096B00">
      <w:pPr>
        <w:adjustRightInd w:val="0"/>
        <w:snapToGrid w:val="0"/>
        <w:ind w:left="359" w:leftChars="171" w:firstLine="241" w:firstLineChars="100"/>
        <w:jc w:val="center"/>
        <w:rPr>
          <w:rFonts w:hAnsi="宋体"/>
          <w:b/>
          <w:snapToGrid w:val="0"/>
          <w:sz w:val="24"/>
        </w:rPr>
      </w:pPr>
    </w:p>
    <w:p w14:paraId="6E1BE648">
      <w:pPr>
        <w:adjustRightInd w:val="0"/>
        <w:snapToGrid w:val="0"/>
        <w:ind w:left="359" w:leftChars="171" w:firstLine="211" w:firstLineChars="100"/>
        <w:jc w:val="center"/>
        <w:rPr>
          <w:rFonts w:hAnsi="宋体"/>
          <w:b/>
          <w:snapToGrid w:val="0"/>
          <w:sz w:val="21"/>
          <w:szCs w:val="21"/>
        </w:rPr>
      </w:pPr>
      <w:r>
        <w:rPr>
          <w:rFonts w:hAnsi="宋体"/>
          <w:b/>
          <w:snapToGrid w:val="0"/>
          <w:sz w:val="21"/>
          <w:szCs w:val="21"/>
        </w:rPr>
        <w:t>表3</w:t>
      </w:r>
      <w:r>
        <w:rPr>
          <w:rFonts w:hint="eastAsia" w:hAnsi="宋体"/>
          <w:b/>
          <w:snapToGrid w:val="0"/>
          <w:sz w:val="21"/>
          <w:szCs w:val="21"/>
        </w:rPr>
        <w:t>.2</w:t>
      </w:r>
      <w:r>
        <w:rPr>
          <w:rFonts w:hAnsi="宋体"/>
          <w:b/>
          <w:snapToGrid w:val="0"/>
          <w:sz w:val="21"/>
          <w:szCs w:val="21"/>
        </w:rPr>
        <w:t>-</w:t>
      </w:r>
      <w:r>
        <w:rPr>
          <w:rFonts w:hint="eastAsia" w:hAnsi="宋体"/>
          <w:b/>
          <w:snapToGrid w:val="0"/>
          <w:sz w:val="21"/>
          <w:szCs w:val="21"/>
        </w:rPr>
        <w:t>1</w:t>
      </w:r>
      <w:r>
        <w:rPr>
          <w:rFonts w:hAnsi="宋体"/>
          <w:b/>
          <w:snapToGrid w:val="0"/>
          <w:sz w:val="21"/>
          <w:szCs w:val="21"/>
        </w:rPr>
        <w:t xml:space="preserve"> </w:t>
      </w:r>
      <w:r>
        <w:rPr>
          <w:rFonts w:hint="eastAsia" w:hAnsi="宋体"/>
          <w:b/>
          <w:snapToGrid w:val="0"/>
          <w:sz w:val="21"/>
          <w:szCs w:val="21"/>
          <w:lang w:val="en-US" w:eastAsia="zh-CN"/>
        </w:rPr>
        <w:t xml:space="preserve">  </w:t>
      </w:r>
      <w:r>
        <w:rPr>
          <w:rFonts w:hAnsi="宋体"/>
          <w:b/>
          <w:snapToGrid w:val="0"/>
          <w:sz w:val="21"/>
          <w:szCs w:val="21"/>
        </w:rPr>
        <w:t xml:space="preserve"> 监测仪器参数表</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2011"/>
        <w:gridCol w:w="2917"/>
        <w:gridCol w:w="3384"/>
      </w:tblGrid>
      <w:tr w14:paraId="417F37E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1210" w:type="pct"/>
            <w:tcMar>
              <w:left w:w="0" w:type="dxa"/>
              <w:right w:w="0" w:type="dxa"/>
            </w:tcMar>
            <w:vAlign w:val="center"/>
          </w:tcPr>
          <w:p w14:paraId="1BB89C19">
            <w:pPr>
              <w:keepNext w:val="0"/>
              <w:keepLines w:val="0"/>
              <w:suppressLineNumbers w:val="0"/>
              <w:snapToGrid w:val="0"/>
              <w:spacing w:before="0" w:beforeAutospacing="0" w:after="0" w:afterAutospacing="0"/>
              <w:ind w:left="0" w:right="0"/>
              <w:jc w:val="center"/>
              <w:rPr>
                <w:szCs w:val="21"/>
              </w:rPr>
            </w:pPr>
            <w:r>
              <w:rPr>
                <w:szCs w:val="21"/>
              </w:rPr>
              <w:t>监测项目</w:t>
            </w:r>
          </w:p>
        </w:tc>
        <w:tc>
          <w:tcPr>
            <w:tcW w:w="1754" w:type="pct"/>
            <w:tcMar>
              <w:left w:w="0" w:type="dxa"/>
              <w:right w:w="0" w:type="dxa"/>
            </w:tcMar>
            <w:vAlign w:val="center"/>
          </w:tcPr>
          <w:p w14:paraId="47D596C8">
            <w:pPr>
              <w:keepNext w:val="0"/>
              <w:keepLines w:val="0"/>
              <w:suppressLineNumbers w:val="0"/>
              <w:snapToGrid w:val="0"/>
              <w:spacing w:before="0" w:beforeAutospacing="0" w:after="0" w:afterAutospacing="0"/>
              <w:ind w:left="0" w:right="0"/>
              <w:jc w:val="center"/>
              <w:rPr>
                <w:szCs w:val="21"/>
              </w:rPr>
            </w:pPr>
            <w:r>
              <w:rPr>
                <w:szCs w:val="21"/>
              </w:rPr>
              <w:t>设备名称</w:t>
            </w:r>
          </w:p>
        </w:tc>
        <w:tc>
          <w:tcPr>
            <w:tcW w:w="2035" w:type="pct"/>
            <w:tcMar>
              <w:left w:w="0" w:type="dxa"/>
              <w:right w:w="0" w:type="dxa"/>
            </w:tcMar>
            <w:vAlign w:val="center"/>
          </w:tcPr>
          <w:p w14:paraId="05A460E7">
            <w:pPr>
              <w:keepNext w:val="0"/>
              <w:keepLines w:val="0"/>
              <w:suppressLineNumbers w:val="0"/>
              <w:snapToGrid w:val="0"/>
              <w:spacing w:before="0" w:beforeAutospacing="0" w:after="0" w:afterAutospacing="0"/>
              <w:ind w:left="0" w:right="0"/>
              <w:jc w:val="center"/>
              <w:rPr>
                <w:szCs w:val="21"/>
              </w:rPr>
            </w:pPr>
            <w:r>
              <w:rPr>
                <w:szCs w:val="21"/>
              </w:rPr>
              <w:t>测量范围</w:t>
            </w:r>
          </w:p>
        </w:tc>
      </w:tr>
      <w:tr w14:paraId="0D06B34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80" w:hRule="atLeast"/>
          <w:jc w:val="center"/>
        </w:trPr>
        <w:tc>
          <w:tcPr>
            <w:tcW w:w="1210" w:type="pct"/>
            <w:tcMar>
              <w:left w:w="0" w:type="dxa"/>
              <w:right w:w="0" w:type="dxa"/>
            </w:tcMar>
            <w:vAlign w:val="center"/>
          </w:tcPr>
          <w:p w14:paraId="381FB1C6">
            <w:pPr>
              <w:keepNext w:val="0"/>
              <w:keepLines w:val="0"/>
              <w:suppressLineNumbers w:val="0"/>
              <w:snapToGrid w:val="0"/>
              <w:spacing w:before="0" w:beforeAutospacing="0" w:after="0" w:afterAutospacing="0"/>
              <w:ind w:left="0" w:right="0"/>
              <w:jc w:val="center"/>
              <w:rPr>
                <w:szCs w:val="21"/>
              </w:rPr>
            </w:pPr>
            <w:r>
              <w:rPr>
                <w:szCs w:val="21"/>
              </w:rPr>
              <w:t>工频电场</w:t>
            </w:r>
          </w:p>
        </w:tc>
        <w:tc>
          <w:tcPr>
            <w:tcW w:w="1754" w:type="pct"/>
            <w:vMerge w:val="restart"/>
            <w:tcMar>
              <w:left w:w="0" w:type="dxa"/>
              <w:right w:w="0" w:type="dxa"/>
            </w:tcMar>
            <w:vAlign w:val="center"/>
          </w:tcPr>
          <w:p w14:paraId="4583D9AB">
            <w:pPr>
              <w:keepNext w:val="0"/>
              <w:keepLines w:val="0"/>
              <w:suppressLineNumbers w:val="0"/>
              <w:snapToGrid w:val="0"/>
              <w:spacing w:before="0" w:beforeAutospacing="0" w:after="0" w:afterAutospacing="0"/>
              <w:ind w:left="0" w:right="0"/>
              <w:jc w:val="center"/>
              <w:rPr>
                <w:szCs w:val="21"/>
              </w:rPr>
            </w:pPr>
            <w:r>
              <w:rPr>
                <w:szCs w:val="21"/>
              </w:rPr>
              <w:t>SEM-600/FR-06</w:t>
            </w:r>
          </w:p>
          <w:p w14:paraId="0C5951D3">
            <w:pPr>
              <w:keepNext w:val="0"/>
              <w:keepLines w:val="0"/>
              <w:suppressLineNumbers w:val="0"/>
              <w:snapToGrid w:val="0"/>
              <w:spacing w:before="0" w:beforeAutospacing="0" w:after="0" w:afterAutospacing="0"/>
              <w:ind w:left="0" w:right="0"/>
              <w:jc w:val="center"/>
              <w:rPr>
                <w:szCs w:val="21"/>
              </w:rPr>
            </w:pPr>
            <w:r>
              <w:rPr>
                <w:szCs w:val="21"/>
              </w:rPr>
              <w:t>电磁辐射分析仪</w:t>
            </w:r>
          </w:p>
        </w:tc>
        <w:tc>
          <w:tcPr>
            <w:tcW w:w="2035" w:type="pct"/>
            <w:tcMar>
              <w:left w:w="0" w:type="dxa"/>
              <w:right w:w="0" w:type="dxa"/>
            </w:tcMar>
            <w:vAlign w:val="center"/>
          </w:tcPr>
          <w:p w14:paraId="575E8D54">
            <w:pPr>
              <w:keepNext w:val="0"/>
              <w:keepLines w:val="0"/>
              <w:suppressLineNumbers w:val="0"/>
              <w:snapToGrid w:val="0"/>
              <w:spacing w:before="0" w:beforeAutospacing="0" w:after="0" w:afterAutospacing="0"/>
              <w:ind w:left="0" w:right="0"/>
              <w:jc w:val="center"/>
              <w:rPr>
                <w:szCs w:val="21"/>
              </w:rPr>
            </w:pPr>
            <w:r>
              <w:rPr>
                <w:szCs w:val="21"/>
              </w:rPr>
              <w:t>0.1V/m</w:t>
            </w:r>
            <w:r>
              <w:rPr>
                <w:rFonts w:hint="eastAsia"/>
                <w:szCs w:val="21"/>
              </w:rPr>
              <w:t>~</w:t>
            </w:r>
            <w:r>
              <w:rPr>
                <w:szCs w:val="21"/>
              </w:rPr>
              <w:t>100kV/m</w:t>
            </w:r>
          </w:p>
        </w:tc>
      </w:tr>
      <w:tr w14:paraId="59DA31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1210" w:type="pct"/>
            <w:tcMar>
              <w:left w:w="0" w:type="dxa"/>
              <w:right w:w="0" w:type="dxa"/>
            </w:tcMar>
            <w:vAlign w:val="center"/>
          </w:tcPr>
          <w:p w14:paraId="5FF4D78F">
            <w:pPr>
              <w:keepNext w:val="0"/>
              <w:keepLines w:val="0"/>
              <w:suppressLineNumbers w:val="0"/>
              <w:snapToGrid w:val="0"/>
              <w:spacing w:before="0" w:beforeAutospacing="0" w:after="0" w:afterAutospacing="0"/>
              <w:ind w:left="0" w:right="0"/>
              <w:jc w:val="center"/>
              <w:rPr>
                <w:szCs w:val="21"/>
              </w:rPr>
            </w:pPr>
            <w:r>
              <w:rPr>
                <w:szCs w:val="21"/>
              </w:rPr>
              <w:t>工频磁场</w:t>
            </w:r>
          </w:p>
        </w:tc>
        <w:tc>
          <w:tcPr>
            <w:tcW w:w="1754" w:type="pct"/>
            <w:vMerge w:val="continue"/>
            <w:tcMar>
              <w:left w:w="0" w:type="dxa"/>
              <w:right w:w="0" w:type="dxa"/>
            </w:tcMar>
            <w:vAlign w:val="center"/>
          </w:tcPr>
          <w:p w14:paraId="7A544A44">
            <w:pPr>
              <w:keepNext w:val="0"/>
              <w:keepLines w:val="0"/>
              <w:suppressLineNumbers w:val="0"/>
              <w:snapToGrid w:val="0"/>
              <w:spacing w:before="0" w:beforeAutospacing="0" w:after="0" w:afterAutospacing="0"/>
              <w:ind w:left="0" w:right="0"/>
              <w:jc w:val="center"/>
              <w:rPr>
                <w:szCs w:val="21"/>
              </w:rPr>
            </w:pPr>
          </w:p>
        </w:tc>
        <w:tc>
          <w:tcPr>
            <w:tcW w:w="2035" w:type="pct"/>
            <w:tcMar>
              <w:left w:w="0" w:type="dxa"/>
              <w:right w:w="0" w:type="dxa"/>
            </w:tcMar>
            <w:vAlign w:val="center"/>
          </w:tcPr>
          <w:p w14:paraId="375B57B3">
            <w:pPr>
              <w:keepNext w:val="0"/>
              <w:keepLines w:val="0"/>
              <w:suppressLineNumbers w:val="0"/>
              <w:snapToGrid w:val="0"/>
              <w:spacing w:before="0" w:beforeAutospacing="0" w:after="0" w:afterAutospacing="0"/>
              <w:ind w:left="0" w:right="0"/>
              <w:jc w:val="center"/>
              <w:rPr>
                <w:szCs w:val="21"/>
              </w:rPr>
            </w:pPr>
            <w:r>
              <w:rPr>
                <w:szCs w:val="21"/>
              </w:rPr>
              <w:t>10nT</w:t>
            </w:r>
            <w:r>
              <w:rPr>
                <w:rFonts w:hint="eastAsia"/>
                <w:szCs w:val="21"/>
              </w:rPr>
              <w:t>~</w:t>
            </w:r>
            <w:r>
              <w:rPr>
                <w:szCs w:val="21"/>
              </w:rPr>
              <w:t>10mT</w:t>
            </w:r>
          </w:p>
        </w:tc>
      </w:tr>
    </w:tbl>
    <w:p w14:paraId="4B6DC7D9">
      <w:pPr>
        <w:spacing w:line="490" w:lineRule="exact"/>
        <w:ind w:firstLine="360" w:firstLineChars="150"/>
        <w:rPr>
          <w:rFonts w:hAnsi="宋体"/>
          <w:sz w:val="24"/>
          <w:szCs w:val="24"/>
        </w:rPr>
      </w:pPr>
      <w:r>
        <w:rPr>
          <w:rFonts w:hAnsi="宋体"/>
          <w:sz w:val="24"/>
          <w:szCs w:val="24"/>
        </w:rPr>
        <w:t>监测结果见表3</w:t>
      </w:r>
      <w:r>
        <w:rPr>
          <w:rFonts w:hint="eastAsia" w:hAnsi="宋体"/>
          <w:sz w:val="24"/>
          <w:szCs w:val="24"/>
        </w:rPr>
        <w:t>.2</w:t>
      </w:r>
      <w:r>
        <w:rPr>
          <w:rFonts w:hAnsi="宋体"/>
          <w:sz w:val="24"/>
          <w:szCs w:val="24"/>
        </w:rPr>
        <w:t>-</w:t>
      </w:r>
      <w:r>
        <w:rPr>
          <w:rFonts w:hint="eastAsia" w:hAnsi="宋体"/>
          <w:sz w:val="24"/>
          <w:szCs w:val="24"/>
        </w:rPr>
        <w:t>2</w:t>
      </w:r>
      <w:r>
        <w:rPr>
          <w:rFonts w:hAnsi="宋体"/>
          <w:sz w:val="24"/>
          <w:szCs w:val="24"/>
        </w:rPr>
        <w:t>。</w:t>
      </w:r>
    </w:p>
    <w:p w14:paraId="02BF2825">
      <w:pPr>
        <w:adjustRightInd w:val="0"/>
        <w:snapToGrid w:val="0"/>
        <w:jc w:val="center"/>
        <w:rPr>
          <w:rFonts w:hAnsi="宋体"/>
          <w:b/>
          <w:snapToGrid w:val="0"/>
          <w:sz w:val="21"/>
          <w:szCs w:val="21"/>
        </w:rPr>
      </w:pPr>
      <w:r>
        <w:rPr>
          <w:rFonts w:hAnsi="宋体"/>
          <w:b/>
          <w:snapToGrid w:val="0"/>
          <w:sz w:val="21"/>
          <w:szCs w:val="21"/>
        </w:rPr>
        <w:t>表3</w:t>
      </w:r>
      <w:r>
        <w:rPr>
          <w:rFonts w:hint="eastAsia" w:hAnsi="宋体"/>
          <w:b/>
          <w:snapToGrid w:val="0"/>
          <w:sz w:val="21"/>
          <w:szCs w:val="21"/>
        </w:rPr>
        <w:t>.2</w:t>
      </w:r>
      <w:r>
        <w:rPr>
          <w:rFonts w:hAnsi="宋体"/>
          <w:b/>
          <w:snapToGrid w:val="0"/>
          <w:sz w:val="21"/>
          <w:szCs w:val="21"/>
        </w:rPr>
        <w:t>-</w:t>
      </w:r>
      <w:r>
        <w:rPr>
          <w:rFonts w:hint="eastAsia" w:hAnsi="宋体"/>
          <w:b/>
          <w:snapToGrid w:val="0"/>
          <w:sz w:val="21"/>
          <w:szCs w:val="21"/>
        </w:rPr>
        <w:t>2</w:t>
      </w:r>
      <w:r>
        <w:rPr>
          <w:rFonts w:hAnsi="宋体"/>
          <w:b/>
          <w:snapToGrid w:val="0"/>
          <w:sz w:val="21"/>
          <w:szCs w:val="21"/>
        </w:rPr>
        <w:t xml:space="preserve"> </w:t>
      </w:r>
      <w:r>
        <w:rPr>
          <w:rFonts w:hint="eastAsia" w:hAnsi="宋体"/>
          <w:b/>
          <w:snapToGrid w:val="0"/>
          <w:sz w:val="21"/>
          <w:szCs w:val="21"/>
        </w:rPr>
        <w:t>中核伊宁县220kV汇集站项目</w:t>
      </w:r>
      <w:r>
        <w:rPr>
          <w:rFonts w:hAnsi="宋体"/>
          <w:b/>
          <w:snapToGrid w:val="0"/>
          <w:sz w:val="21"/>
          <w:szCs w:val="21"/>
        </w:rPr>
        <w:t>电磁场测试结果</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735"/>
        <w:gridCol w:w="3465"/>
        <w:gridCol w:w="1350"/>
        <w:gridCol w:w="1512"/>
        <w:gridCol w:w="1460"/>
      </w:tblGrid>
      <w:tr w14:paraId="06DBB74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431" w:type="pct"/>
            <w:vAlign w:val="center"/>
          </w:tcPr>
          <w:p w14:paraId="000D10AD">
            <w:pPr>
              <w:keepNext w:val="0"/>
              <w:keepLines w:val="0"/>
              <w:suppressLineNumbers w:val="0"/>
              <w:snapToGrid w:val="0"/>
              <w:spacing w:before="0" w:beforeAutospacing="0" w:after="0" w:afterAutospacing="0"/>
              <w:ind w:left="0" w:right="0"/>
              <w:jc w:val="center"/>
              <w:rPr>
                <w:szCs w:val="21"/>
              </w:rPr>
            </w:pPr>
            <w:r>
              <w:rPr>
                <w:szCs w:val="21"/>
              </w:rPr>
              <w:t>序号</w:t>
            </w:r>
          </w:p>
        </w:tc>
        <w:tc>
          <w:tcPr>
            <w:tcW w:w="2032" w:type="pct"/>
            <w:vAlign w:val="center"/>
          </w:tcPr>
          <w:p w14:paraId="10503422">
            <w:pPr>
              <w:keepNext w:val="0"/>
              <w:keepLines w:val="0"/>
              <w:suppressLineNumbers w:val="0"/>
              <w:snapToGrid w:val="0"/>
              <w:spacing w:before="0" w:beforeAutospacing="0" w:after="0" w:afterAutospacing="0"/>
              <w:ind w:left="0" w:right="0"/>
              <w:jc w:val="center"/>
              <w:rPr>
                <w:szCs w:val="21"/>
              </w:rPr>
            </w:pPr>
            <w:r>
              <w:rPr>
                <w:szCs w:val="21"/>
              </w:rPr>
              <w:t>监测点位描述</w:t>
            </w:r>
          </w:p>
        </w:tc>
        <w:tc>
          <w:tcPr>
            <w:tcW w:w="792" w:type="pct"/>
            <w:vAlign w:val="center"/>
          </w:tcPr>
          <w:p w14:paraId="4E73C378">
            <w:pPr>
              <w:keepNext w:val="0"/>
              <w:keepLines w:val="0"/>
              <w:suppressLineNumbers w:val="0"/>
              <w:snapToGrid w:val="0"/>
              <w:spacing w:before="0" w:beforeAutospacing="0" w:after="0" w:afterAutospacing="0"/>
              <w:ind w:left="0" w:right="0"/>
              <w:jc w:val="center"/>
              <w:rPr>
                <w:szCs w:val="21"/>
              </w:rPr>
            </w:pPr>
            <w:r>
              <w:rPr>
                <w:szCs w:val="21"/>
              </w:rPr>
              <w:t>距地高度</w:t>
            </w:r>
          </w:p>
          <w:p w14:paraId="0737FE2D">
            <w:pPr>
              <w:keepNext w:val="0"/>
              <w:keepLines w:val="0"/>
              <w:suppressLineNumbers w:val="0"/>
              <w:snapToGrid w:val="0"/>
              <w:spacing w:before="0" w:beforeAutospacing="0" w:after="0" w:afterAutospacing="0"/>
              <w:ind w:left="0" w:right="0"/>
              <w:jc w:val="center"/>
              <w:rPr>
                <w:szCs w:val="21"/>
              </w:rPr>
            </w:pPr>
            <w:r>
              <w:rPr>
                <w:szCs w:val="21"/>
              </w:rPr>
              <w:t>（m）</w:t>
            </w:r>
          </w:p>
        </w:tc>
        <w:tc>
          <w:tcPr>
            <w:tcW w:w="887" w:type="pct"/>
            <w:vAlign w:val="center"/>
          </w:tcPr>
          <w:p w14:paraId="61B2B873">
            <w:pPr>
              <w:pStyle w:val="37"/>
              <w:keepNext w:val="0"/>
              <w:keepLines w:val="0"/>
              <w:suppressLineNumbers w:val="0"/>
              <w:tabs>
                <w:tab w:val="left" w:pos="6300"/>
              </w:tabs>
              <w:snapToGrid w:val="0"/>
              <w:spacing w:before="0" w:beforeAutospacing="0" w:after="0" w:afterAutospacing="0"/>
              <w:ind w:left="0" w:right="0" w:firstLine="0" w:firstLineChars="0"/>
              <w:jc w:val="center"/>
              <w:rPr>
                <w:sz w:val="21"/>
                <w:szCs w:val="21"/>
              </w:rPr>
            </w:pPr>
            <w:r>
              <w:rPr>
                <w:sz w:val="21"/>
                <w:szCs w:val="21"/>
              </w:rPr>
              <w:t>工频电场强度</w:t>
            </w:r>
          </w:p>
          <w:p w14:paraId="3C6B706C">
            <w:pPr>
              <w:pStyle w:val="37"/>
              <w:keepNext w:val="0"/>
              <w:keepLines w:val="0"/>
              <w:suppressLineNumbers w:val="0"/>
              <w:tabs>
                <w:tab w:val="left" w:pos="6300"/>
              </w:tabs>
              <w:snapToGrid w:val="0"/>
              <w:spacing w:before="0" w:beforeAutospacing="0" w:after="0" w:afterAutospacing="0"/>
              <w:ind w:left="0" w:right="0" w:firstLine="0" w:firstLineChars="0"/>
              <w:jc w:val="center"/>
              <w:rPr>
                <w:sz w:val="21"/>
                <w:szCs w:val="21"/>
              </w:rPr>
            </w:pPr>
            <w:r>
              <w:rPr>
                <w:sz w:val="21"/>
                <w:szCs w:val="21"/>
              </w:rPr>
              <w:t>（V/m）</w:t>
            </w:r>
          </w:p>
        </w:tc>
        <w:tc>
          <w:tcPr>
            <w:tcW w:w="856" w:type="pct"/>
            <w:vAlign w:val="center"/>
          </w:tcPr>
          <w:p w14:paraId="1BDBCE9B">
            <w:pPr>
              <w:pStyle w:val="37"/>
              <w:keepNext w:val="0"/>
              <w:keepLines w:val="0"/>
              <w:suppressLineNumbers w:val="0"/>
              <w:tabs>
                <w:tab w:val="left" w:pos="6300"/>
              </w:tabs>
              <w:snapToGrid w:val="0"/>
              <w:spacing w:before="0" w:beforeAutospacing="0" w:after="0" w:afterAutospacing="0"/>
              <w:ind w:left="0" w:right="0" w:firstLine="0" w:firstLineChars="0"/>
              <w:jc w:val="center"/>
              <w:rPr>
                <w:sz w:val="21"/>
                <w:szCs w:val="21"/>
              </w:rPr>
            </w:pPr>
            <w:r>
              <w:rPr>
                <w:sz w:val="21"/>
                <w:szCs w:val="21"/>
              </w:rPr>
              <w:t>磁感应强度</w:t>
            </w:r>
          </w:p>
          <w:p w14:paraId="63574341">
            <w:pPr>
              <w:pStyle w:val="37"/>
              <w:keepNext w:val="0"/>
              <w:keepLines w:val="0"/>
              <w:suppressLineNumbers w:val="0"/>
              <w:tabs>
                <w:tab w:val="left" w:pos="6300"/>
              </w:tabs>
              <w:snapToGrid w:val="0"/>
              <w:spacing w:before="0" w:beforeAutospacing="0" w:after="0" w:afterAutospacing="0"/>
              <w:ind w:left="0" w:right="0" w:firstLine="0" w:firstLineChars="0"/>
              <w:jc w:val="center"/>
              <w:rPr>
                <w:sz w:val="21"/>
                <w:szCs w:val="21"/>
              </w:rPr>
            </w:pPr>
            <w:r>
              <w:rPr>
                <w:sz w:val="21"/>
                <w:szCs w:val="21"/>
              </w:rPr>
              <w:t>（μT）</w:t>
            </w:r>
          </w:p>
        </w:tc>
      </w:tr>
      <w:tr w14:paraId="6EE5AF9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431" w:type="pct"/>
            <w:vAlign w:val="center"/>
          </w:tcPr>
          <w:p w14:paraId="656E3C6A">
            <w:pPr>
              <w:keepNext w:val="0"/>
              <w:keepLines w:val="0"/>
              <w:suppressLineNumbers w:val="0"/>
              <w:snapToGrid w:val="0"/>
              <w:spacing w:before="0" w:beforeAutospacing="0" w:after="0" w:afterAutospacing="0"/>
              <w:ind w:left="0" w:right="0"/>
              <w:jc w:val="center"/>
              <w:rPr>
                <w:szCs w:val="21"/>
              </w:rPr>
            </w:pPr>
            <w:r>
              <w:rPr>
                <w:szCs w:val="21"/>
              </w:rPr>
              <w:t>1</w:t>
            </w:r>
          </w:p>
        </w:tc>
        <w:tc>
          <w:tcPr>
            <w:tcW w:w="2032" w:type="pct"/>
            <w:vAlign w:val="center"/>
          </w:tcPr>
          <w:p w14:paraId="707435DD">
            <w:pPr>
              <w:keepNext w:val="0"/>
              <w:keepLines w:val="0"/>
              <w:suppressLineNumbers w:val="0"/>
              <w:snapToGrid w:val="0"/>
              <w:spacing w:before="0" w:beforeAutospacing="0" w:after="0" w:afterAutospacing="0"/>
              <w:ind w:left="0" w:right="0"/>
              <w:jc w:val="center"/>
              <w:rPr>
                <w:szCs w:val="21"/>
              </w:rPr>
            </w:pPr>
            <w:r>
              <w:rPr>
                <w:szCs w:val="21"/>
              </w:rPr>
              <w:t>站界东侧5m处</w:t>
            </w:r>
          </w:p>
        </w:tc>
        <w:tc>
          <w:tcPr>
            <w:tcW w:w="792" w:type="pct"/>
            <w:vAlign w:val="center"/>
          </w:tcPr>
          <w:p w14:paraId="3D3BE4A8">
            <w:pPr>
              <w:keepNext w:val="0"/>
              <w:keepLines w:val="0"/>
              <w:suppressLineNumbers w:val="0"/>
              <w:snapToGrid w:val="0"/>
              <w:spacing w:before="0" w:beforeAutospacing="0" w:after="0" w:afterAutospacing="0"/>
              <w:ind w:left="0" w:right="0"/>
              <w:jc w:val="center"/>
              <w:rPr>
                <w:szCs w:val="21"/>
              </w:rPr>
            </w:pPr>
            <w:r>
              <w:rPr>
                <w:szCs w:val="21"/>
              </w:rPr>
              <w:t>1.5</w:t>
            </w:r>
          </w:p>
        </w:tc>
        <w:tc>
          <w:tcPr>
            <w:tcW w:w="887" w:type="pct"/>
            <w:vAlign w:val="center"/>
          </w:tcPr>
          <w:p w14:paraId="2D2E1DE5">
            <w:pPr>
              <w:keepNext w:val="0"/>
              <w:keepLines w:val="0"/>
              <w:suppressLineNumbers w:val="0"/>
              <w:snapToGrid w:val="0"/>
              <w:spacing w:before="0" w:beforeAutospacing="0" w:after="0" w:afterAutospacing="0"/>
              <w:ind w:left="0" w:right="0"/>
              <w:jc w:val="center"/>
              <w:rPr>
                <w:szCs w:val="21"/>
              </w:rPr>
            </w:pPr>
            <w:r>
              <w:rPr>
                <w:szCs w:val="21"/>
              </w:rPr>
              <w:t>1.903</w:t>
            </w:r>
          </w:p>
        </w:tc>
        <w:tc>
          <w:tcPr>
            <w:tcW w:w="856" w:type="pct"/>
            <w:vAlign w:val="center"/>
          </w:tcPr>
          <w:p w14:paraId="65F479B0">
            <w:pPr>
              <w:keepNext w:val="0"/>
              <w:keepLines w:val="0"/>
              <w:suppressLineNumbers w:val="0"/>
              <w:snapToGrid w:val="0"/>
              <w:spacing w:before="0" w:beforeAutospacing="0" w:after="0" w:afterAutospacing="0"/>
              <w:ind w:left="0" w:right="0"/>
              <w:jc w:val="center"/>
              <w:rPr>
                <w:szCs w:val="21"/>
              </w:rPr>
            </w:pPr>
            <w:r>
              <w:rPr>
                <w:szCs w:val="21"/>
              </w:rPr>
              <w:t>0.0855</w:t>
            </w:r>
          </w:p>
        </w:tc>
      </w:tr>
      <w:tr w14:paraId="1D2134F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431" w:type="pct"/>
            <w:vAlign w:val="center"/>
          </w:tcPr>
          <w:p w14:paraId="6AE453C8">
            <w:pPr>
              <w:keepNext w:val="0"/>
              <w:keepLines w:val="0"/>
              <w:suppressLineNumbers w:val="0"/>
              <w:snapToGrid w:val="0"/>
              <w:spacing w:before="0" w:beforeAutospacing="0" w:after="0" w:afterAutospacing="0"/>
              <w:ind w:left="0" w:right="0"/>
              <w:jc w:val="center"/>
              <w:rPr>
                <w:szCs w:val="21"/>
              </w:rPr>
            </w:pPr>
            <w:r>
              <w:rPr>
                <w:szCs w:val="21"/>
              </w:rPr>
              <w:t>2</w:t>
            </w:r>
          </w:p>
        </w:tc>
        <w:tc>
          <w:tcPr>
            <w:tcW w:w="2032" w:type="pct"/>
            <w:vAlign w:val="center"/>
          </w:tcPr>
          <w:p w14:paraId="3C7262CA">
            <w:pPr>
              <w:keepNext w:val="0"/>
              <w:keepLines w:val="0"/>
              <w:suppressLineNumbers w:val="0"/>
              <w:snapToGrid w:val="0"/>
              <w:spacing w:before="0" w:beforeAutospacing="0" w:after="0" w:afterAutospacing="0"/>
              <w:ind w:left="0" w:right="0"/>
              <w:jc w:val="center"/>
              <w:rPr>
                <w:szCs w:val="21"/>
              </w:rPr>
            </w:pPr>
            <w:r>
              <w:rPr>
                <w:szCs w:val="21"/>
              </w:rPr>
              <w:t>站界南侧5m处</w:t>
            </w:r>
          </w:p>
        </w:tc>
        <w:tc>
          <w:tcPr>
            <w:tcW w:w="792" w:type="pct"/>
            <w:vAlign w:val="center"/>
          </w:tcPr>
          <w:p w14:paraId="49A0CCBE">
            <w:pPr>
              <w:keepNext w:val="0"/>
              <w:keepLines w:val="0"/>
              <w:suppressLineNumbers w:val="0"/>
              <w:snapToGrid w:val="0"/>
              <w:spacing w:before="0" w:beforeAutospacing="0" w:after="0" w:afterAutospacing="0"/>
              <w:ind w:left="0" w:right="0"/>
              <w:jc w:val="center"/>
              <w:rPr>
                <w:szCs w:val="21"/>
              </w:rPr>
            </w:pPr>
            <w:r>
              <w:rPr>
                <w:szCs w:val="21"/>
              </w:rPr>
              <w:t>1.5</w:t>
            </w:r>
          </w:p>
        </w:tc>
        <w:tc>
          <w:tcPr>
            <w:tcW w:w="887" w:type="pct"/>
            <w:vAlign w:val="center"/>
          </w:tcPr>
          <w:p w14:paraId="2D8B8E7A">
            <w:pPr>
              <w:keepNext w:val="0"/>
              <w:keepLines w:val="0"/>
              <w:suppressLineNumbers w:val="0"/>
              <w:snapToGrid w:val="0"/>
              <w:spacing w:before="0" w:beforeAutospacing="0" w:after="0" w:afterAutospacing="0"/>
              <w:ind w:left="0" w:right="0"/>
              <w:jc w:val="center"/>
              <w:rPr>
                <w:szCs w:val="21"/>
              </w:rPr>
            </w:pPr>
            <w:r>
              <w:rPr>
                <w:szCs w:val="21"/>
              </w:rPr>
              <w:t>1.735</w:t>
            </w:r>
          </w:p>
        </w:tc>
        <w:tc>
          <w:tcPr>
            <w:tcW w:w="856" w:type="pct"/>
            <w:vAlign w:val="center"/>
          </w:tcPr>
          <w:p w14:paraId="16C8F5E3">
            <w:pPr>
              <w:keepNext w:val="0"/>
              <w:keepLines w:val="0"/>
              <w:suppressLineNumbers w:val="0"/>
              <w:snapToGrid w:val="0"/>
              <w:spacing w:before="0" w:beforeAutospacing="0" w:after="0" w:afterAutospacing="0"/>
              <w:ind w:left="0" w:right="0"/>
              <w:jc w:val="center"/>
              <w:rPr>
                <w:szCs w:val="21"/>
              </w:rPr>
            </w:pPr>
            <w:r>
              <w:rPr>
                <w:szCs w:val="21"/>
              </w:rPr>
              <w:t>0.0723</w:t>
            </w:r>
          </w:p>
        </w:tc>
      </w:tr>
      <w:tr w14:paraId="71197D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431" w:type="pct"/>
            <w:vAlign w:val="center"/>
          </w:tcPr>
          <w:p w14:paraId="1E93DA94">
            <w:pPr>
              <w:keepNext w:val="0"/>
              <w:keepLines w:val="0"/>
              <w:suppressLineNumbers w:val="0"/>
              <w:snapToGrid w:val="0"/>
              <w:spacing w:before="0" w:beforeAutospacing="0" w:after="0" w:afterAutospacing="0"/>
              <w:ind w:left="0" w:right="0"/>
              <w:jc w:val="center"/>
              <w:rPr>
                <w:szCs w:val="21"/>
              </w:rPr>
            </w:pPr>
            <w:r>
              <w:rPr>
                <w:szCs w:val="21"/>
              </w:rPr>
              <w:t>3</w:t>
            </w:r>
          </w:p>
        </w:tc>
        <w:tc>
          <w:tcPr>
            <w:tcW w:w="2032" w:type="pct"/>
            <w:vAlign w:val="center"/>
          </w:tcPr>
          <w:p w14:paraId="5291923C">
            <w:pPr>
              <w:keepNext w:val="0"/>
              <w:keepLines w:val="0"/>
              <w:suppressLineNumbers w:val="0"/>
              <w:snapToGrid w:val="0"/>
              <w:spacing w:before="0" w:beforeAutospacing="0" w:after="0" w:afterAutospacing="0"/>
              <w:ind w:left="0" w:right="0"/>
              <w:jc w:val="center"/>
              <w:rPr>
                <w:szCs w:val="21"/>
              </w:rPr>
            </w:pPr>
            <w:r>
              <w:rPr>
                <w:szCs w:val="21"/>
              </w:rPr>
              <w:t>站界西侧5m处</w:t>
            </w:r>
          </w:p>
        </w:tc>
        <w:tc>
          <w:tcPr>
            <w:tcW w:w="792" w:type="pct"/>
            <w:vAlign w:val="center"/>
          </w:tcPr>
          <w:p w14:paraId="038B9932">
            <w:pPr>
              <w:keepNext w:val="0"/>
              <w:keepLines w:val="0"/>
              <w:suppressLineNumbers w:val="0"/>
              <w:snapToGrid w:val="0"/>
              <w:spacing w:before="0" w:beforeAutospacing="0" w:after="0" w:afterAutospacing="0"/>
              <w:ind w:left="0" w:right="0"/>
              <w:jc w:val="center"/>
              <w:rPr>
                <w:szCs w:val="21"/>
              </w:rPr>
            </w:pPr>
            <w:r>
              <w:rPr>
                <w:szCs w:val="21"/>
              </w:rPr>
              <w:t>1.5</w:t>
            </w:r>
          </w:p>
        </w:tc>
        <w:tc>
          <w:tcPr>
            <w:tcW w:w="887" w:type="pct"/>
            <w:vAlign w:val="center"/>
          </w:tcPr>
          <w:p w14:paraId="7C8741D5">
            <w:pPr>
              <w:keepNext w:val="0"/>
              <w:keepLines w:val="0"/>
              <w:suppressLineNumbers w:val="0"/>
              <w:snapToGrid w:val="0"/>
              <w:spacing w:before="0" w:beforeAutospacing="0" w:after="0" w:afterAutospacing="0"/>
              <w:ind w:left="0" w:right="0"/>
              <w:jc w:val="center"/>
              <w:rPr>
                <w:szCs w:val="21"/>
              </w:rPr>
            </w:pPr>
            <w:r>
              <w:rPr>
                <w:szCs w:val="21"/>
              </w:rPr>
              <w:t>42.25</w:t>
            </w:r>
          </w:p>
        </w:tc>
        <w:tc>
          <w:tcPr>
            <w:tcW w:w="856" w:type="pct"/>
            <w:vAlign w:val="center"/>
          </w:tcPr>
          <w:p w14:paraId="4B938AE1">
            <w:pPr>
              <w:keepNext w:val="0"/>
              <w:keepLines w:val="0"/>
              <w:suppressLineNumbers w:val="0"/>
              <w:snapToGrid w:val="0"/>
              <w:spacing w:before="0" w:beforeAutospacing="0" w:after="0" w:afterAutospacing="0"/>
              <w:ind w:left="0" w:right="0"/>
              <w:jc w:val="center"/>
              <w:rPr>
                <w:szCs w:val="21"/>
              </w:rPr>
            </w:pPr>
            <w:r>
              <w:rPr>
                <w:szCs w:val="21"/>
              </w:rPr>
              <w:t>0.0862</w:t>
            </w:r>
          </w:p>
        </w:tc>
      </w:tr>
      <w:tr w14:paraId="0C8624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431" w:type="pct"/>
            <w:vAlign w:val="center"/>
          </w:tcPr>
          <w:p w14:paraId="571147A3">
            <w:pPr>
              <w:keepNext w:val="0"/>
              <w:keepLines w:val="0"/>
              <w:suppressLineNumbers w:val="0"/>
              <w:snapToGrid w:val="0"/>
              <w:spacing w:before="0" w:beforeAutospacing="0" w:after="0" w:afterAutospacing="0"/>
              <w:ind w:left="0" w:right="0"/>
              <w:jc w:val="center"/>
              <w:rPr>
                <w:szCs w:val="21"/>
              </w:rPr>
            </w:pPr>
            <w:r>
              <w:rPr>
                <w:szCs w:val="21"/>
              </w:rPr>
              <w:t>4</w:t>
            </w:r>
          </w:p>
        </w:tc>
        <w:tc>
          <w:tcPr>
            <w:tcW w:w="2032" w:type="pct"/>
            <w:vAlign w:val="center"/>
          </w:tcPr>
          <w:p w14:paraId="1630E939">
            <w:pPr>
              <w:keepNext w:val="0"/>
              <w:keepLines w:val="0"/>
              <w:suppressLineNumbers w:val="0"/>
              <w:snapToGrid w:val="0"/>
              <w:spacing w:before="0" w:beforeAutospacing="0" w:after="0" w:afterAutospacing="0"/>
              <w:ind w:left="0" w:right="0"/>
              <w:jc w:val="center"/>
              <w:rPr>
                <w:szCs w:val="21"/>
              </w:rPr>
            </w:pPr>
            <w:r>
              <w:rPr>
                <w:szCs w:val="21"/>
              </w:rPr>
              <w:t>站界北侧5m处</w:t>
            </w:r>
          </w:p>
        </w:tc>
        <w:tc>
          <w:tcPr>
            <w:tcW w:w="792" w:type="pct"/>
            <w:vAlign w:val="center"/>
          </w:tcPr>
          <w:p w14:paraId="543E27F2">
            <w:pPr>
              <w:keepNext w:val="0"/>
              <w:keepLines w:val="0"/>
              <w:suppressLineNumbers w:val="0"/>
              <w:snapToGrid w:val="0"/>
              <w:spacing w:before="0" w:beforeAutospacing="0" w:after="0" w:afterAutospacing="0"/>
              <w:ind w:left="0" w:right="0"/>
              <w:jc w:val="center"/>
              <w:rPr>
                <w:szCs w:val="21"/>
              </w:rPr>
            </w:pPr>
            <w:r>
              <w:rPr>
                <w:szCs w:val="21"/>
              </w:rPr>
              <w:t>1.5</w:t>
            </w:r>
          </w:p>
        </w:tc>
        <w:tc>
          <w:tcPr>
            <w:tcW w:w="887" w:type="pct"/>
            <w:vAlign w:val="center"/>
          </w:tcPr>
          <w:p w14:paraId="624B5F1C">
            <w:pPr>
              <w:keepNext w:val="0"/>
              <w:keepLines w:val="0"/>
              <w:suppressLineNumbers w:val="0"/>
              <w:snapToGrid w:val="0"/>
              <w:spacing w:before="0" w:beforeAutospacing="0" w:after="0" w:afterAutospacing="0"/>
              <w:ind w:left="0" w:right="0"/>
              <w:jc w:val="center"/>
              <w:rPr>
                <w:szCs w:val="21"/>
              </w:rPr>
            </w:pPr>
            <w:r>
              <w:rPr>
                <w:szCs w:val="21"/>
              </w:rPr>
              <w:t>77.35</w:t>
            </w:r>
          </w:p>
        </w:tc>
        <w:tc>
          <w:tcPr>
            <w:tcW w:w="856" w:type="pct"/>
            <w:vAlign w:val="center"/>
          </w:tcPr>
          <w:p w14:paraId="3A3499DE">
            <w:pPr>
              <w:keepNext w:val="0"/>
              <w:keepLines w:val="0"/>
              <w:suppressLineNumbers w:val="0"/>
              <w:snapToGrid w:val="0"/>
              <w:spacing w:before="0" w:beforeAutospacing="0" w:after="0" w:afterAutospacing="0"/>
              <w:ind w:left="0" w:right="0"/>
              <w:jc w:val="center"/>
              <w:rPr>
                <w:szCs w:val="21"/>
              </w:rPr>
            </w:pPr>
            <w:r>
              <w:rPr>
                <w:szCs w:val="21"/>
              </w:rPr>
              <w:t>0.0855</w:t>
            </w:r>
          </w:p>
        </w:tc>
      </w:tr>
    </w:tbl>
    <w:p w14:paraId="2162DEC6">
      <w:pPr>
        <w:keepNext w:val="0"/>
        <w:keepLines w:val="0"/>
        <w:pageBreakBefore w:val="0"/>
        <w:widowControl w:val="0"/>
        <w:kinsoku/>
        <w:wordWrap/>
        <w:overflowPunct/>
        <w:topLinePunct w:val="0"/>
        <w:autoSpaceDE/>
        <w:autoSpaceDN/>
        <w:bidi w:val="0"/>
        <w:adjustRightInd w:val="0"/>
        <w:snapToGrid w:val="0"/>
        <w:spacing w:before="157" w:beforeLines="50"/>
        <w:ind w:firstLine="422" w:firstLineChars="200"/>
        <w:jc w:val="center"/>
        <w:textAlignment w:val="auto"/>
        <w:rPr>
          <w:rFonts w:hAnsi="宋体"/>
          <w:b/>
          <w:snapToGrid w:val="0"/>
          <w:sz w:val="21"/>
          <w:szCs w:val="21"/>
        </w:rPr>
      </w:pPr>
      <w:r>
        <w:rPr>
          <w:rFonts w:hint="eastAsia" w:hAnsi="宋体"/>
          <w:b/>
          <w:snapToGrid w:val="0"/>
          <w:sz w:val="21"/>
          <w:szCs w:val="21"/>
        </w:rPr>
        <w:t>表3.2-3</w:t>
      </w:r>
      <w:r>
        <w:rPr>
          <w:rFonts w:hint="eastAsia" w:hAnsi="宋体"/>
          <w:b/>
          <w:snapToGrid w:val="0"/>
          <w:sz w:val="21"/>
          <w:szCs w:val="21"/>
          <w:lang w:val="en-US" w:eastAsia="zh-CN"/>
        </w:rPr>
        <w:t xml:space="preserve">  </w:t>
      </w:r>
      <w:r>
        <w:rPr>
          <w:rFonts w:hint="eastAsia" w:hAnsi="宋体"/>
          <w:b/>
          <w:snapToGrid w:val="0"/>
          <w:sz w:val="21"/>
          <w:szCs w:val="21"/>
        </w:rPr>
        <w:t xml:space="preserve"> 中核伊宁县220kV汇集站项目工频电场强度和工频磁感应强度监测结果(衰减)</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3582"/>
        <w:gridCol w:w="2138"/>
        <w:gridCol w:w="2156"/>
      </w:tblGrid>
      <w:tr w14:paraId="3910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F48B2E5">
            <w:pPr>
              <w:keepNext w:val="0"/>
              <w:keepLines w:val="0"/>
              <w:suppressLineNumbers w:val="0"/>
              <w:snapToGrid w:val="0"/>
              <w:spacing w:before="0" w:beforeAutospacing="0" w:after="0" w:afterAutospacing="0"/>
              <w:ind w:left="0" w:right="0"/>
              <w:jc w:val="center"/>
              <w:rPr>
                <w:szCs w:val="21"/>
              </w:rPr>
            </w:pPr>
            <w:r>
              <w:rPr>
                <w:szCs w:val="21"/>
              </w:rPr>
              <w:t>序号</w:t>
            </w:r>
          </w:p>
        </w:tc>
        <w:tc>
          <w:tcPr>
            <w:tcW w:w="3967" w:type="dxa"/>
          </w:tcPr>
          <w:p w14:paraId="18F9843F">
            <w:pPr>
              <w:keepNext w:val="0"/>
              <w:keepLines w:val="0"/>
              <w:suppressLineNumbers w:val="0"/>
              <w:snapToGrid w:val="0"/>
              <w:spacing w:before="0" w:beforeAutospacing="0" w:after="0" w:afterAutospacing="0"/>
              <w:ind w:left="0" w:right="0"/>
              <w:jc w:val="center"/>
              <w:rPr>
                <w:szCs w:val="21"/>
              </w:rPr>
            </w:pPr>
            <w:r>
              <w:rPr>
                <w:szCs w:val="21"/>
              </w:rPr>
              <w:t>测点位置：项目区北侧输电线垂直断面东侧20米距围墙 (m)</w:t>
            </w:r>
          </w:p>
        </w:tc>
        <w:tc>
          <w:tcPr>
            <w:tcW w:w="2322" w:type="dxa"/>
          </w:tcPr>
          <w:p w14:paraId="48BE9B5C">
            <w:pPr>
              <w:keepNext w:val="0"/>
              <w:keepLines w:val="0"/>
              <w:suppressLineNumbers w:val="0"/>
              <w:snapToGrid w:val="0"/>
              <w:spacing w:before="0" w:beforeAutospacing="0" w:after="0" w:afterAutospacing="0"/>
              <w:ind w:left="0" w:right="0"/>
              <w:jc w:val="center"/>
              <w:rPr>
                <w:szCs w:val="21"/>
              </w:rPr>
            </w:pPr>
            <w:r>
              <w:rPr>
                <w:szCs w:val="21"/>
              </w:rPr>
              <w:t>工频电场强度</w:t>
            </w:r>
          </w:p>
          <w:p w14:paraId="23C8D42F">
            <w:pPr>
              <w:keepNext w:val="0"/>
              <w:keepLines w:val="0"/>
              <w:suppressLineNumbers w:val="0"/>
              <w:snapToGrid w:val="0"/>
              <w:spacing w:before="0" w:beforeAutospacing="0" w:after="0" w:afterAutospacing="0"/>
              <w:ind w:left="0" w:right="0"/>
              <w:jc w:val="center"/>
              <w:rPr>
                <w:szCs w:val="21"/>
              </w:rPr>
            </w:pPr>
            <w:r>
              <w:rPr>
                <w:szCs w:val="21"/>
              </w:rPr>
              <w:t>(V/m)</w:t>
            </w:r>
          </w:p>
        </w:tc>
        <w:tc>
          <w:tcPr>
            <w:tcW w:w="2322" w:type="dxa"/>
          </w:tcPr>
          <w:p w14:paraId="543F289A">
            <w:pPr>
              <w:keepNext w:val="0"/>
              <w:keepLines w:val="0"/>
              <w:suppressLineNumbers w:val="0"/>
              <w:snapToGrid w:val="0"/>
              <w:spacing w:before="0" w:beforeAutospacing="0" w:after="0" w:afterAutospacing="0"/>
              <w:ind w:left="0" w:right="0"/>
              <w:jc w:val="center"/>
              <w:rPr>
                <w:szCs w:val="21"/>
              </w:rPr>
            </w:pPr>
            <w:r>
              <w:rPr>
                <w:szCs w:val="21"/>
              </w:rPr>
              <w:t>工频磁感应强度</w:t>
            </w:r>
          </w:p>
          <w:p w14:paraId="22257A5D">
            <w:pPr>
              <w:keepNext w:val="0"/>
              <w:keepLines w:val="0"/>
              <w:suppressLineNumbers w:val="0"/>
              <w:snapToGrid w:val="0"/>
              <w:spacing w:before="0" w:beforeAutospacing="0" w:after="0" w:afterAutospacing="0"/>
              <w:ind w:left="0" w:right="0"/>
              <w:jc w:val="center"/>
              <w:rPr>
                <w:szCs w:val="21"/>
              </w:rPr>
            </w:pPr>
            <w:r>
              <w:rPr>
                <w:szCs w:val="21"/>
              </w:rPr>
              <w:t>（μT）</w:t>
            </w:r>
          </w:p>
        </w:tc>
      </w:tr>
      <w:tr w14:paraId="45D8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3A24033">
            <w:pPr>
              <w:keepNext w:val="0"/>
              <w:keepLines w:val="0"/>
              <w:suppressLineNumbers w:val="0"/>
              <w:snapToGrid w:val="0"/>
              <w:spacing w:before="0" w:beforeAutospacing="0" w:after="0" w:afterAutospacing="0"/>
              <w:ind w:left="0" w:right="0"/>
              <w:jc w:val="center"/>
              <w:rPr>
                <w:szCs w:val="21"/>
              </w:rPr>
            </w:pPr>
            <w:r>
              <w:rPr>
                <w:szCs w:val="21"/>
              </w:rPr>
              <w:t>1</w:t>
            </w:r>
          </w:p>
        </w:tc>
        <w:tc>
          <w:tcPr>
            <w:tcW w:w="3967" w:type="dxa"/>
          </w:tcPr>
          <w:p w14:paraId="7634DEA3">
            <w:pPr>
              <w:keepNext w:val="0"/>
              <w:keepLines w:val="0"/>
              <w:suppressLineNumbers w:val="0"/>
              <w:snapToGrid w:val="0"/>
              <w:spacing w:before="0" w:beforeAutospacing="0" w:after="0" w:afterAutospacing="0"/>
              <w:ind w:left="0" w:right="0"/>
              <w:jc w:val="center"/>
              <w:rPr>
                <w:szCs w:val="21"/>
              </w:rPr>
            </w:pPr>
            <w:r>
              <w:rPr>
                <w:szCs w:val="21"/>
              </w:rPr>
              <w:t>5m</w:t>
            </w:r>
          </w:p>
        </w:tc>
        <w:tc>
          <w:tcPr>
            <w:tcW w:w="2322" w:type="dxa"/>
          </w:tcPr>
          <w:p w14:paraId="750BAE72">
            <w:pPr>
              <w:keepNext w:val="0"/>
              <w:keepLines w:val="0"/>
              <w:suppressLineNumbers w:val="0"/>
              <w:snapToGrid w:val="0"/>
              <w:spacing w:before="0" w:beforeAutospacing="0" w:after="0" w:afterAutospacing="0"/>
              <w:ind w:left="0" w:right="0"/>
              <w:jc w:val="center"/>
              <w:rPr>
                <w:szCs w:val="21"/>
              </w:rPr>
            </w:pPr>
            <w:r>
              <w:rPr>
                <w:szCs w:val="21"/>
              </w:rPr>
              <w:t>70.25</w:t>
            </w:r>
          </w:p>
        </w:tc>
        <w:tc>
          <w:tcPr>
            <w:tcW w:w="2322" w:type="dxa"/>
          </w:tcPr>
          <w:p w14:paraId="575D2B51">
            <w:pPr>
              <w:keepNext w:val="0"/>
              <w:keepLines w:val="0"/>
              <w:suppressLineNumbers w:val="0"/>
              <w:snapToGrid w:val="0"/>
              <w:spacing w:before="0" w:beforeAutospacing="0" w:after="0" w:afterAutospacing="0"/>
              <w:ind w:left="0" w:right="0"/>
              <w:jc w:val="center"/>
              <w:rPr>
                <w:szCs w:val="21"/>
              </w:rPr>
            </w:pPr>
            <w:r>
              <w:rPr>
                <w:szCs w:val="21"/>
              </w:rPr>
              <w:t>0.0806</w:t>
            </w:r>
          </w:p>
        </w:tc>
      </w:tr>
      <w:tr w14:paraId="280F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0BB95A1">
            <w:pPr>
              <w:keepNext w:val="0"/>
              <w:keepLines w:val="0"/>
              <w:suppressLineNumbers w:val="0"/>
              <w:snapToGrid w:val="0"/>
              <w:spacing w:before="0" w:beforeAutospacing="0" w:after="0" w:afterAutospacing="0"/>
              <w:ind w:left="0" w:right="0"/>
              <w:jc w:val="center"/>
              <w:rPr>
                <w:szCs w:val="21"/>
              </w:rPr>
            </w:pPr>
            <w:r>
              <w:rPr>
                <w:szCs w:val="21"/>
              </w:rPr>
              <w:t>2</w:t>
            </w:r>
          </w:p>
        </w:tc>
        <w:tc>
          <w:tcPr>
            <w:tcW w:w="3967" w:type="dxa"/>
          </w:tcPr>
          <w:p w14:paraId="43505B82">
            <w:pPr>
              <w:keepNext w:val="0"/>
              <w:keepLines w:val="0"/>
              <w:suppressLineNumbers w:val="0"/>
              <w:snapToGrid w:val="0"/>
              <w:spacing w:before="0" w:beforeAutospacing="0" w:after="0" w:afterAutospacing="0"/>
              <w:ind w:left="0" w:right="0"/>
              <w:jc w:val="center"/>
              <w:rPr>
                <w:szCs w:val="21"/>
              </w:rPr>
            </w:pPr>
            <w:r>
              <w:rPr>
                <w:szCs w:val="21"/>
              </w:rPr>
              <w:t>10m</w:t>
            </w:r>
          </w:p>
        </w:tc>
        <w:tc>
          <w:tcPr>
            <w:tcW w:w="2322" w:type="dxa"/>
          </w:tcPr>
          <w:p w14:paraId="17724A54">
            <w:pPr>
              <w:keepNext w:val="0"/>
              <w:keepLines w:val="0"/>
              <w:suppressLineNumbers w:val="0"/>
              <w:snapToGrid w:val="0"/>
              <w:spacing w:before="0" w:beforeAutospacing="0" w:after="0" w:afterAutospacing="0"/>
              <w:ind w:left="0" w:right="0"/>
              <w:jc w:val="center"/>
              <w:rPr>
                <w:szCs w:val="21"/>
              </w:rPr>
            </w:pPr>
            <w:r>
              <w:rPr>
                <w:szCs w:val="21"/>
              </w:rPr>
              <w:t>60.51</w:t>
            </w:r>
          </w:p>
        </w:tc>
        <w:tc>
          <w:tcPr>
            <w:tcW w:w="2322" w:type="dxa"/>
          </w:tcPr>
          <w:p w14:paraId="36D38D74">
            <w:pPr>
              <w:keepNext w:val="0"/>
              <w:keepLines w:val="0"/>
              <w:suppressLineNumbers w:val="0"/>
              <w:snapToGrid w:val="0"/>
              <w:spacing w:before="0" w:beforeAutospacing="0" w:after="0" w:afterAutospacing="0"/>
              <w:ind w:left="0" w:right="0"/>
              <w:jc w:val="center"/>
              <w:rPr>
                <w:szCs w:val="21"/>
              </w:rPr>
            </w:pPr>
            <w:r>
              <w:rPr>
                <w:szCs w:val="21"/>
              </w:rPr>
              <w:t>0.0792</w:t>
            </w:r>
          </w:p>
        </w:tc>
      </w:tr>
      <w:tr w14:paraId="2AEB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8C355B4">
            <w:pPr>
              <w:keepNext w:val="0"/>
              <w:keepLines w:val="0"/>
              <w:suppressLineNumbers w:val="0"/>
              <w:snapToGrid w:val="0"/>
              <w:spacing w:before="0" w:beforeAutospacing="0" w:after="0" w:afterAutospacing="0"/>
              <w:ind w:left="0" w:right="0"/>
              <w:jc w:val="center"/>
              <w:rPr>
                <w:szCs w:val="21"/>
              </w:rPr>
            </w:pPr>
            <w:r>
              <w:rPr>
                <w:szCs w:val="21"/>
              </w:rPr>
              <w:t>3</w:t>
            </w:r>
          </w:p>
        </w:tc>
        <w:tc>
          <w:tcPr>
            <w:tcW w:w="3967" w:type="dxa"/>
          </w:tcPr>
          <w:p w14:paraId="569B1A31">
            <w:pPr>
              <w:keepNext w:val="0"/>
              <w:keepLines w:val="0"/>
              <w:suppressLineNumbers w:val="0"/>
              <w:snapToGrid w:val="0"/>
              <w:spacing w:before="0" w:beforeAutospacing="0" w:after="0" w:afterAutospacing="0"/>
              <w:ind w:left="0" w:right="0"/>
              <w:jc w:val="center"/>
              <w:rPr>
                <w:szCs w:val="21"/>
              </w:rPr>
            </w:pPr>
            <w:r>
              <w:rPr>
                <w:szCs w:val="21"/>
              </w:rPr>
              <w:t>15m</w:t>
            </w:r>
          </w:p>
        </w:tc>
        <w:tc>
          <w:tcPr>
            <w:tcW w:w="2322" w:type="dxa"/>
          </w:tcPr>
          <w:p w14:paraId="5819C8C0">
            <w:pPr>
              <w:keepNext w:val="0"/>
              <w:keepLines w:val="0"/>
              <w:suppressLineNumbers w:val="0"/>
              <w:snapToGrid w:val="0"/>
              <w:spacing w:before="0" w:beforeAutospacing="0" w:after="0" w:afterAutospacing="0"/>
              <w:ind w:left="0" w:right="0"/>
              <w:jc w:val="center"/>
              <w:rPr>
                <w:szCs w:val="21"/>
              </w:rPr>
            </w:pPr>
            <w:r>
              <w:rPr>
                <w:szCs w:val="21"/>
              </w:rPr>
              <w:t>45.25</w:t>
            </w:r>
          </w:p>
        </w:tc>
        <w:tc>
          <w:tcPr>
            <w:tcW w:w="2322" w:type="dxa"/>
          </w:tcPr>
          <w:p w14:paraId="27ED4EE9">
            <w:pPr>
              <w:keepNext w:val="0"/>
              <w:keepLines w:val="0"/>
              <w:suppressLineNumbers w:val="0"/>
              <w:snapToGrid w:val="0"/>
              <w:spacing w:before="0" w:beforeAutospacing="0" w:after="0" w:afterAutospacing="0"/>
              <w:ind w:left="0" w:right="0"/>
              <w:jc w:val="center"/>
              <w:rPr>
                <w:szCs w:val="21"/>
              </w:rPr>
            </w:pPr>
            <w:r>
              <w:rPr>
                <w:szCs w:val="21"/>
              </w:rPr>
              <w:t>0.0773</w:t>
            </w:r>
          </w:p>
        </w:tc>
      </w:tr>
      <w:tr w14:paraId="784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C272A78">
            <w:pPr>
              <w:keepNext w:val="0"/>
              <w:keepLines w:val="0"/>
              <w:suppressLineNumbers w:val="0"/>
              <w:snapToGrid w:val="0"/>
              <w:spacing w:before="0" w:beforeAutospacing="0" w:after="0" w:afterAutospacing="0"/>
              <w:ind w:left="0" w:right="0"/>
              <w:jc w:val="center"/>
              <w:rPr>
                <w:szCs w:val="21"/>
              </w:rPr>
            </w:pPr>
            <w:r>
              <w:rPr>
                <w:szCs w:val="21"/>
              </w:rPr>
              <w:t>4</w:t>
            </w:r>
          </w:p>
        </w:tc>
        <w:tc>
          <w:tcPr>
            <w:tcW w:w="3967" w:type="dxa"/>
          </w:tcPr>
          <w:p w14:paraId="46B9CFC3">
            <w:pPr>
              <w:keepNext w:val="0"/>
              <w:keepLines w:val="0"/>
              <w:suppressLineNumbers w:val="0"/>
              <w:snapToGrid w:val="0"/>
              <w:spacing w:before="0" w:beforeAutospacing="0" w:after="0" w:afterAutospacing="0"/>
              <w:ind w:left="0" w:right="0"/>
              <w:jc w:val="center"/>
              <w:rPr>
                <w:szCs w:val="21"/>
              </w:rPr>
            </w:pPr>
            <w:r>
              <w:rPr>
                <w:szCs w:val="21"/>
              </w:rPr>
              <w:t>20m</w:t>
            </w:r>
          </w:p>
        </w:tc>
        <w:tc>
          <w:tcPr>
            <w:tcW w:w="2322" w:type="dxa"/>
          </w:tcPr>
          <w:p w14:paraId="45AE6614">
            <w:pPr>
              <w:keepNext w:val="0"/>
              <w:keepLines w:val="0"/>
              <w:suppressLineNumbers w:val="0"/>
              <w:snapToGrid w:val="0"/>
              <w:spacing w:before="0" w:beforeAutospacing="0" w:after="0" w:afterAutospacing="0"/>
              <w:ind w:left="0" w:right="0"/>
              <w:jc w:val="center"/>
              <w:rPr>
                <w:szCs w:val="21"/>
              </w:rPr>
            </w:pPr>
            <w:r>
              <w:rPr>
                <w:szCs w:val="21"/>
              </w:rPr>
              <w:t>23.63</w:t>
            </w:r>
          </w:p>
        </w:tc>
        <w:tc>
          <w:tcPr>
            <w:tcW w:w="2322" w:type="dxa"/>
          </w:tcPr>
          <w:p w14:paraId="3D7543FA">
            <w:pPr>
              <w:keepNext w:val="0"/>
              <w:keepLines w:val="0"/>
              <w:suppressLineNumbers w:val="0"/>
              <w:snapToGrid w:val="0"/>
              <w:spacing w:before="0" w:beforeAutospacing="0" w:after="0" w:afterAutospacing="0"/>
              <w:ind w:left="0" w:right="0"/>
              <w:jc w:val="center"/>
              <w:rPr>
                <w:szCs w:val="21"/>
              </w:rPr>
            </w:pPr>
            <w:r>
              <w:rPr>
                <w:szCs w:val="21"/>
              </w:rPr>
              <w:t>0.0735</w:t>
            </w:r>
          </w:p>
        </w:tc>
      </w:tr>
      <w:tr w14:paraId="68D8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70EF769">
            <w:pPr>
              <w:keepNext w:val="0"/>
              <w:keepLines w:val="0"/>
              <w:suppressLineNumbers w:val="0"/>
              <w:snapToGrid w:val="0"/>
              <w:spacing w:before="0" w:beforeAutospacing="0" w:after="0" w:afterAutospacing="0"/>
              <w:ind w:left="0" w:right="0"/>
              <w:jc w:val="center"/>
              <w:rPr>
                <w:szCs w:val="21"/>
              </w:rPr>
            </w:pPr>
            <w:r>
              <w:rPr>
                <w:szCs w:val="21"/>
              </w:rPr>
              <w:t>5</w:t>
            </w:r>
          </w:p>
        </w:tc>
        <w:tc>
          <w:tcPr>
            <w:tcW w:w="3967" w:type="dxa"/>
          </w:tcPr>
          <w:p w14:paraId="2DE95DB6">
            <w:pPr>
              <w:keepNext w:val="0"/>
              <w:keepLines w:val="0"/>
              <w:suppressLineNumbers w:val="0"/>
              <w:snapToGrid w:val="0"/>
              <w:spacing w:before="0" w:beforeAutospacing="0" w:after="0" w:afterAutospacing="0"/>
              <w:ind w:left="0" w:right="0"/>
              <w:jc w:val="center"/>
              <w:rPr>
                <w:szCs w:val="21"/>
              </w:rPr>
            </w:pPr>
            <w:r>
              <w:rPr>
                <w:szCs w:val="21"/>
              </w:rPr>
              <w:t>25m</w:t>
            </w:r>
          </w:p>
        </w:tc>
        <w:tc>
          <w:tcPr>
            <w:tcW w:w="2322" w:type="dxa"/>
          </w:tcPr>
          <w:p w14:paraId="6D48C6E7">
            <w:pPr>
              <w:keepNext w:val="0"/>
              <w:keepLines w:val="0"/>
              <w:suppressLineNumbers w:val="0"/>
              <w:snapToGrid w:val="0"/>
              <w:spacing w:before="0" w:beforeAutospacing="0" w:after="0" w:afterAutospacing="0"/>
              <w:ind w:left="0" w:right="0"/>
              <w:jc w:val="center"/>
              <w:rPr>
                <w:szCs w:val="21"/>
              </w:rPr>
            </w:pPr>
            <w:r>
              <w:rPr>
                <w:szCs w:val="21"/>
              </w:rPr>
              <w:t>16.43</w:t>
            </w:r>
          </w:p>
        </w:tc>
        <w:tc>
          <w:tcPr>
            <w:tcW w:w="2322" w:type="dxa"/>
          </w:tcPr>
          <w:p w14:paraId="3BC559ED">
            <w:pPr>
              <w:keepNext w:val="0"/>
              <w:keepLines w:val="0"/>
              <w:suppressLineNumbers w:val="0"/>
              <w:snapToGrid w:val="0"/>
              <w:spacing w:before="0" w:beforeAutospacing="0" w:after="0" w:afterAutospacing="0"/>
              <w:ind w:left="0" w:right="0"/>
              <w:jc w:val="center"/>
              <w:rPr>
                <w:szCs w:val="21"/>
              </w:rPr>
            </w:pPr>
            <w:r>
              <w:rPr>
                <w:szCs w:val="21"/>
              </w:rPr>
              <w:t>0.0685</w:t>
            </w:r>
          </w:p>
        </w:tc>
      </w:tr>
      <w:tr w14:paraId="7B4F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6F86B10">
            <w:pPr>
              <w:keepNext w:val="0"/>
              <w:keepLines w:val="0"/>
              <w:suppressLineNumbers w:val="0"/>
              <w:snapToGrid w:val="0"/>
              <w:spacing w:before="0" w:beforeAutospacing="0" w:after="0" w:afterAutospacing="0"/>
              <w:ind w:left="0" w:right="0"/>
              <w:jc w:val="center"/>
              <w:rPr>
                <w:szCs w:val="21"/>
              </w:rPr>
            </w:pPr>
            <w:r>
              <w:rPr>
                <w:szCs w:val="21"/>
              </w:rPr>
              <w:t>6</w:t>
            </w:r>
          </w:p>
        </w:tc>
        <w:tc>
          <w:tcPr>
            <w:tcW w:w="3967" w:type="dxa"/>
          </w:tcPr>
          <w:p w14:paraId="642F7745">
            <w:pPr>
              <w:keepNext w:val="0"/>
              <w:keepLines w:val="0"/>
              <w:suppressLineNumbers w:val="0"/>
              <w:snapToGrid w:val="0"/>
              <w:spacing w:before="0" w:beforeAutospacing="0" w:after="0" w:afterAutospacing="0"/>
              <w:ind w:left="0" w:right="0"/>
              <w:jc w:val="center"/>
              <w:rPr>
                <w:szCs w:val="21"/>
              </w:rPr>
            </w:pPr>
            <w:r>
              <w:rPr>
                <w:szCs w:val="21"/>
              </w:rPr>
              <w:t>30m</w:t>
            </w:r>
          </w:p>
        </w:tc>
        <w:tc>
          <w:tcPr>
            <w:tcW w:w="2322" w:type="dxa"/>
          </w:tcPr>
          <w:p w14:paraId="4B13C6EC">
            <w:pPr>
              <w:keepNext w:val="0"/>
              <w:keepLines w:val="0"/>
              <w:suppressLineNumbers w:val="0"/>
              <w:snapToGrid w:val="0"/>
              <w:spacing w:before="0" w:beforeAutospacing="0" w:after="0" w:afterAutospacing="0"/>
              <w:ind w:left="0" w:right="0"/>
              <w:jc w:val="center"/>
              <w:rPr>
                <w:szCs w:val="21"/>
              </w:rPr>
            </w:pPr>
            <w:r>
              <w:rPr>
                <w:szCs w:val="21"/>
              </w:rPr>
              <w:t>8.254</w:t>
            </w:r>
          </w:p>
        </w:tc>
        <w:tc>
          <w:tcPr>
            <w:tcW w:w="2322" w:type="dxa"/>
          </w:tcPr>
          <w:p w14:paraId="21F2481D">
            <w:pPr>
              <w:keepNext w:val="0"/>
              <w:keepLines w:val="0"/>
              <w:suppressLineNumbers w:val="0"/>
              <w:snapToGrid w:val="0"/>
              <w:spacing w:before="0" w:beforeAutospacing="0" w:after="0" w:afterAutospacing="0"/>
              <w:ind w:left="0" w:right="0"/>
              <w:jc w:val="center"/>
              <w:rPr>
                <w:szCs w:val="21"/>
              </w:rPr>
            </w:pPr>
            <w:r>
              <w:rPr>
                <w:szCs w:val="21"/>
              </w:rPr>
              <w:t>0.0632</w:t>
            </w:r>
          </w:p>
        </w:tc>
      </w:tr>
      <w:tr w14:paraId="58CE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66ABDD8">
            <w:pPr>
              <w:keepNext w:val="0"/>
              <w:keepLines w:val="0"/>
              <w:suppressLineNumbers w:val="0"/>
              <w:snapToGrid w:val="0"/>
              <w:spacing w:before="0" w:beforeAutospacing="0" w:after="0" w:afterAutospacing="0"/>
              <w:ind w:left="0" w:right="0"/>
              <w:jc w:val="center"/>
              <w:rPr>
                <w:szCs w:val="21"/>
              </w:rPr>
            </w:pPr>
            <w:r>
              <w:rPr>
                <w:szCs w:val="21"/>
              </w:rPr>
              <w:t>7</w:t>
            </w:r>
          </w:p>
        </w:tc>
        <w:tc>
          <w:tcPr>
            <w:tcW w:w="3967" w:type="dxa"/>
          </w:tcPr>
          <w:p w14:paraId="71C6DF03">
            <w:pPr>
              <w:keepNext w:val="0"/>
              <w:keepLines w:val="0"/>
              <w:suppressLineNumbers w:val="0"/>
              <w:snapToGrid w:val="0"/>
              <w:spacing w:before="0" w:beforeAutospacing="0" w:after="0" w:afterAutospacing="0"/>
              <w:ind w:left="0" w:right="0"/>
              <w:jc w:val="center"/>
              <w:rPr>
                <w:szCs w:val="21"/>
              </w:rPr>
            </w:pPr>
            <w:r>
              <w:rPr>
                <w:szCs w:val="21"/>
              </w:rPr>
              <w:t>35m</w:t>
            </w:r>
          </w:p>
        </w:tc>
        <w:tc>
          <w:tcPr>
            <w:tcW w:w="2322" w:type="dxa"/>
          </w:tcPr>
          <w:p w14:paraId="632062BA">
            <w:pPr>
              <w:keepNext w:val="0"/>
              <w:keepLines w:val="0"/>
              <w:suppressLineNumbers w:val="0"/>
              <w:snapToGrid w:val="0"/>
              <w:spacing w:before="0" w:beforeAutospacing="0" w:after="0" w:afterAutospacing="0"/>
              <w:ind w:left="0" w:right="0"/>
              <w:jc w:val="center"/>
              <w:rPr>
                <w:szCs w:val="21"/>
              </w:rPr>
            </w:pPr>
            <w:r>
              <w:rPr>
                <w:szCs w:val="21"/>
              </w:rPr>
              <w:t>2.144</w:t>
            </w:r>
          </w:p>
        </w:tc>
        <w:tc>
          <w:tcPr>
            <w:tcW w:w="2322" w:type="dxa"/>
          </w:tcPr>
          <w:p w14:paraId="62FBEB02">
            <w:pPr>
              <w:keepNext w:val="0"/>
              <w:keepLines w:val="0"/>
              <w:suppressLineNumbers w:val="0"/>
              <w:snapToGrid w:val="0"/>
              <w:spacing w:before="0" w:beforeAutospacing="0" w:after="0" w:afterAutospacing="0"/>
              <w:ind w:left="0" w:right="0"/>
              <w:jc w:val="center"/>
              <w:rPr>
                <w:szCs w:val="21"/>
              </w:rPr>
            </w:pPr>
            <w:r>
              <w:rPr>
                <w:szCs w:val="21"/>
              </w:rPr>
              <w:t>0.0605</w:t>
            </w:r>
          </w:p>
        </w:tc>
      </w:tr>
      <w:tr w14:paraId="628F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8B54D68">
            <w:pPr>
              <w:keepNext w:val="0"/>
              <w:keepLines w:val="0"/>
              <w:suppressLineNumbers w:val="0"/>
              <w:snapToGrid w:val="0"/>
              <w:spacing w:before="0" w:beforeAutospacing="0" w:after="0" w:afterAutospacing="0"/>
              <w:ind w:left="0" w:right="0"/>
              <w:jc w:val="center"/>
              <w:rPr>
                <w:szCs w:val="21"/>
              </w:rPr>
            </w:pPr>
            <w:r>
              <w:rPr>
                <w:szCs w:val="21"/>
              </w:rPr>
              <w:t>8</w:t>
            </w:r>
          </w:p>
        </w:tc>
        <w:tc>
          <w:tcPr>
            <w:tcW w:w="3967" w:type="dxa"/>
          </w:tcPr>
          <w:p w14:paraId="46F1FDA9">
            <w:pPr>
              <w:keepNext w:val="0"/>
              <w:keepLines w:val="0"/>
              <w:suppressLineNumbers w:val="0"/>
              <w:snapToGrid w:val="0"/>
              <w:spacing w:before="0" w:beforeAutospacing="0" w:after="0" w:afterAutospacing="0"/>
              <w:ind w:left="0" w:right="0"/>
              <w:jc w:val="center"/>
              <w:rPr>
                <w:szCs w:val="21"/>
              </w:rPr>
            </w:pPr>
            <w:r>
              <w:rPr>
                <w:szCs w:val="21"/>
              </w:rPr>
              <w:t>40m</w:t>
            </w:r>
          </w:p>
        </w:tc>
        <w:tc>
          <w:tcPr>
            <w:tcW w:w="2322" w:type="dxa"/>
          </w:tcPr>
          <w:p w14:paraId="16825B61">
            <w:pPr>
              <w:keepNext w:val="0"/>
              <w:keepLines w:val="0"/>
              <w:suppressLineNumbers w:val="0"/>
              <w:snapToGrid w:val="0"/>
              <w:spacing w:before="0" w:beforeAutospacing="0" w:after="0" w:afterAutospacing="0"/>
              <w:ind w:left="0" w:right="0"/>
              <w:jc w:val="center"/>
              <w:rPr>
                <w:szCs w:val="21"/>
              </w:rPr>
            </w:pPr>
            <w:r>
              <w:rPr>
                <w:szCs w:val="21"/>
              </w:rPr>
              <w:t>1.852</w:t>
            </w:r>
          </w:p>
        </w:tc>
        <w:tc>
          <w:tcPr>
            <w:tcW w:w="2322" w:type="dxa"/>
          </w:tcPr>
          <w:p w14:paraId="49925FB7">
            <w:pPr>
              <w:keepNext w:val="0"/>
              <w:keepLines w:val="0"/>
              <w:suppressLineNumbers w:val="0"/>
              <w:snapToGrid w:val="0"/>
              <w:spacing w:before="0" w:beforeAutospacing="0" w:after="0" w:afterAutospacing="0"/>
              <w:ind w:left="0" w:right="0"/>
              <w:jc w:val="center"/>
              <w:rPr>
                <w:szCs w:val="21"/>
              </w:rPr>
            </w:pPr>
            <w:r>
              <w:rPr>
                <w:szCs w:val="21"/>
              </w:rPr>
              <w:t>0.0534</w:t>
            </w:r>
          </w:p>
        </w:tc>
      </w:tr>
      <w:tr w14:paraId="2865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CB7F124">
            <w:pPr>
              <w:keepNext w:val="0"/>
              <w:keepLines w:val="0"/>
              <w:suppressLineNumbers w:val="0"/>
              <w:snapToGrid w:val="0"/>
              <w:spacing w:before="0" w:beforeAutospacing="0" w:after="0" w:afterAutospacing="0"/>
              <w:ind w:left="0" w:right="0"/>
              <w:jc w:val="center"/>
              <w:rPr>
                <w:szCs w:val="21"/>
              </w:rPr>
            </w:pPr>
            <w:r>
              <w:rPr>
                <w:szCs w:val="21"/>
              </w:rPr>
              <w:t>9</w:t>
            </w:r>
          </w:p>
        </w:tc>
        <w:tc>
          <w:tcPr>
            <w:tcW w:w="3967" w:type="dxa"/>
          </w:tcPr>
          <w:p w14:paraId="411BB764">
            <w:pPr>
              <w:keepNext w:val="0"/>
              <w:keepLines w:val="0"/>
              <w:suppressLineNumbers w:val="0"/>
              <w:snapToGrid w:val="0"/>
              <w:spacing w:before="0" w:beforeAutospacing="0" w:after="0" w:afterAutospacing="0"/>
              <w:ind w:left="0" w:right="0"/>
              <w:jc w:val="center"/>
              <w:rPr>
                <w:szCs w:val="21"/>
              </w:rPr>
            </w:pPr>
            <w:r>
              <w:rPr>
                <w:szCs w:val="21"/>
              </w:rPr>
              <w:t>45m</w:t>
            </w:r>
          </w:p>
        </w:tc>
        <w:tc>
          <w:tcPr>
            <w:tcW w:w="2322" w:type="dxa"/>
          </w:tcPr>
          <w:p w14:paraId="23CAFFA7">
            <w:pPr>
              <w:keepNext w:val="0"/>
              <w:keepLines w:val="0"/>
              <w:suppressLineNumbers w:val="0"/>
              <w:snapToGrid w:val="0"/>
              <w:spacing w:before="0" w:beforeAutospacing="0" w:after="0" w:afterAutospacing="0"/>
              <w:ind w:left="0" w:right="0"/>
              <w:jc w:val="center"/>
              <w:rPr>
                <w:szCs w:val="21"/>
              </w:rPr>
            </w:pPr>
            <w:r>
              <w:rPr>
                <w:szCs w:val="21"/>
              </w:rPr>
              <w:t>1.625</w:t>
            </w:r>
          </w:p>
        </w:tc>
        <w:tc>
          <w:tcPr>
            <w:tcW w:w="2322" w:type="dxa"/>
          </w:tcPr>
          <w:p w14:paraId="0A62B520">
            <w:pPr>
              <w:keepNext w:val="0"/>
              <w:keepLines w:val="0"/>
              <w:suppressLineNumbers w:val="0"/>
              <w:snapToGrid w:val="0"/>
              <w:spacing w:before="0" w:beforeAutospacing="0" w:after="0" w:afterAutospacing="0"/>
              <w:ind w:left="0" w:right="0"/>
              <w:jc w:val="center"/>
              <w:rPr>
                <w:szCs w:val="21"/>
              </w:rPr>
            </w:pPr>
            <w:r>
              <w:rPr>
                <w:szCs w:val="21"/>
              </w:rPr>
              <w:t>0.0504</w:t>
            </w:r>
          </w:p>
        </w:tc>
      </w:tr>
      <w:tr w14:paraId="59B8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23584D3">
            <w:pPr>
              <w:keepNext w:val="0"/>
              <w:keepLines w:val="0"/>
              <w:suppressLineNumbers w:val="0"/>
              <w:snapToGrid w:val="0"/>
              <w:spacing w:before="0" w:beforeAutospacing="0" w:after="0" w:afterAutospacing="0"/>
              <w:ind w:left="0" w:right="0"/>
              <w:jc w:val="center"/>
              <w:rPr>
                <w:szCs w:val="21"/>
              </w:rPr>
            </w:pPr>
            <w:r>
              <w:rPr>
                <w:szCs w:val="21"/>
              </w:rPr>
              <w:t>10</w:t>
            </w:r>
          </w:p>
        </w:tc>
        <w:tc>
          <w:tcPr>
            <w:tcW w:w="3967" w:type="dxa"/>
          </w:tcPr>
          <w:p w14:paraId="2028A9AE">
            <w:pPr>
              <w:keepNext w:val="0"/>
              <w:keepLines w:val="0"/>
              <w:suppressLineNumbers w:val="0"/>
              <w:snapToGrid w:val="0"/>
              <w:spacing w:before="0" w:beforeAutospacing="0" w:after="0" w:afterAutospacing="0"/>
              <w:ind w:left="0" w:right="0"/>
              <w:jc w:val="center"/>
              <w:rPr>
                <w:szCs w:val="21"/>
              </w:rPr>
            </w:pPr>
            <w:r>
              <w:rPr>
                <w:szCs w:val="21"/>
              </w:rPr>
              <w:t>50m</w:t>
            </w:r>
          </w:p>
        </w:tc>
        <w:tc>
          <w:tcPr>
            <w:tcW w:w="2322" w:type="dxa"/>
          </w:tcPr>
          <w:p w14:paraId="5565E52D">
            <w:pPr>
              <w:keepNext w:val="0"/>
              <w:keepLines w:val="0"/>
              <w:suppressLineNumbers w:val="0"/>
              <w:snapToGrid w:val="0"/>
              <w:spacing w:before="0" w:beforeAutospacing="0" w:after="0" w:afterAutospacing="0"/>
              <w:ind w:left="0" w:right="0"/>
              <w:jc w:val="center"/>
              <w:rPr>
                <w:szCs w:val="21"/>
              </w:rPr>
            </w:pPr>
            <w:r>
              <w:rPr>
                <w:szCs w:val="21"/>
              </w:rPr>
              <w:t>1.583</w:t>
            </w:r>
          </w:p>
        </w:tc>
        <w:tc>
          <w:tcPr>
            <w:tcW w:w="2322" w:type="dxa"/>
          </w:tcPr>
          <w:p w14:paraId="5401BA8F">
            <w:pPr>
              <w:keepNext w:val="0"/>
              <w:keepLines w:val="0"/>
              <w:suppressLineNumbers w:val="0"/>
              <w:snapToGrid w:val="0"/>
              <w:spacing w:before="0" w:beforeAutospacing="0" w:after="0" w:afterAutospacing="0"/>
              <w:ind w:left="0" w:right="0"/>
              <w:jc w:val="center"/>
              <w:rPr>
                <w:szCs w:val="21"/>
              </w:rPr>
            </w:pPr>
            <w:r>
              <w:rPr>
                <w:szCs w:val="21"/>
              </w:rPr>
              <w:t>0.0485</w:t>
            </w:r>
          </w:p>
        </w:tc>
      </w:tr>
    </w:tbl>
    <w:p w14:paraId="2C3EB17D">
      <w:pPr>
        <w:spacing w:line="490" w:lineRule="exact"/>
        <w:ind w:firstLine="480" w:firstLineChars="200"/>
        <w:rPr>
          <w:rFonts w:hAnsi="宋体"/>
          <w:sz w:val="24"/>
        </w:rPr>
      </w:pPr>
      <w:r>
        <w:rPr>
          <w:rFonts w:ascii="宋体" w:hAnsi="宋体"/>
          <w:sz w:val="24"/>
        </w:rPr>
        <w:t>由类比结果分析可知，</w:t>
      </w:r>
      <w:r>
        <w:rPr>
          <w:rFonts w:hint="eastAsia" w:ascii="宋体" w:hAnsi="宋体"/>
          <w:sz w:val="24"/>
        </w:rPr>
        <w:t>中核伊宁县</w:t>
      </w:r>
      <w:r>
        <w:rPr>
          <w:sz w:val="24"/>
        </w:rPr>
        <w:t>220kV</w:t>
      </w:r>
      <w:r>
        <w:rPr>
          <w:rFonts w:hint="eastAsia" w:ascii="宋体" w:hAnsi="宋体"/>
          <w:sz w:val="24"/>
        </w:rPr>
        <w:t>汇集站</w:t>
      </w:r>
      <w:r>
        <w:rPr>
          <w:rFonts w:ascii="宋体" w:hAnsi="宋体"/>
          <w:sz w:val="24"/>
        </w:rPr>
        <w:t>工频电场强度监测结果范围</w:t>
      </w:r>
      <w:r>
        <w:rPr>
          <w:sz w:val="24"/>
        </w:rPr>
        <w:t>1.583V/m</w:t>
      </w:r>
      <w:r>
        <w:rPr>
          <w:rFonts w:hint="eastAsia"/>
          <w:sz w:val="24"/>
        </w:rPr>
        <w:t>~</w:t>
      </w:r>
      <w:r>
        <w:rPr>
          <w:sz w:val="24"/>
        </w:rPr>
        <w:t>77.35V/m</w:t>
      </w:r>
      <w:r>
        <w:rPr>
          <w:rFonts w:ascii="宋体" w:hAnsi="宋体"/>
          <w:sz w:val="24"/>
        </w:rPr>
        <w:t>，</w:t>
      </w:r>
      <w:r>
        <w:rPr>
          <w:rFonts w:hint="eastAsia" w:ascii="宋体" w:hAnsi="宋体"/>
          <w:sz w:val="24"/>
        </w:rPr>
        <w:t>工频磁感应强度</w:t>
      </w:r>
      <w:r>
        <w:rPr>
          <w:rFonts w:ascii="宋体" w:hAnsi="宋体"/>
          <w:sz w:val="24"/>
        </w:rPr>
        <w:t>监测结果范围</w:t>
      </w:r>
      <w:r>
        <w:rPr>
          <w:sz w:val="24"/>
        </w:rPr>
        <w:t>0.0485μT</w:t>
      </w:r>
      <w:r>
        <w:rPr>
          <w:rFonts w:hint="eastAsia" w:hAnsi="宋体"/>
          <w:sz w:val="24"/>
        </w:rPr>
        <w:t>~</w:t>
      </w:r>
      <w:r>
        <w:rPr>
          <w:sz w:val="24"/>
        </w:rPr>
        <w:t>0.0862μT</w:t>
      </w:r>
      <w:r>
        <w:rPr>
          <w:rFonts w:hint="eastAsia" w:ascii="宋体" w:hAnsi="宋体"/>
          <w:sz w:val="24"/>
        </w:rPr>
        <w:t>，</w:t>
      </w:r>
      <w:r>
        <w:rPr>
          <w:rFonts w:hAnsi="宋体"/>
          <w:sz w:val="24"/>
        </w:rPr>
        <w:t>远小于《电磁环境控制限值》（GB 8702-2014）中相应限值：电场强度4000V/m，磁感应强度</w:t>
      </w:r>
      <w:r>
        <w:rPr>
          <w:sz w:val="24"/>
        </w:rPr>
        <w:t>100μT</w:t>
      </w:r>
      <w:r>
        <w:rPr>
          <w:rFonts w:hAnsi="宋体"/>
          <w:sz w:val="24"/>
        </w:rPr>
        <w:t>。</w:t>
      </w:r>
    </w:p>
    <w:p w14:paraId="7C7C589E">
      <w:pPr>
        <w:pStyle w:val="3"/>
        <w:spacing w:beforeLines="50"/>
        <w:rPr>
          <w:rFonts w:ascii="宋体" w:hAnsi="宋体" w:eastAsia="宋体"/>
          <w:sz w:val="24"/>
          <w:szCs w:val="24"/>
        </w:rPr>
      </w:pPr>
      <w:r>
        <w:rPr>
          <w:rFonts w:ascii="Times New Roman" w:hAnsi="Times New Roman" w:eastAsia="宋体"/>
          <w:sz w:val="24"/>
          <w:szCs w:val="24"/>
        </w:rPr>
        <w:t>3.1.3</w:t>
      </w:r>
      <w:r>
        <w:rPr>
          <w:rFonts w:hint="eastAsia" w:ascii="宋体" w:hAnsi="宋体" w:eastAsia="宋体"/>
          <w:sz w:val="24"/>
          <w:szCs w:val="24"/>
        </w:rPr>
        <w:t>工频电场强度和工频磁感应强度</w:t>
      </w:r>
      <w:r>
        <w:rPr>
          <w:rFonts w:ascii="宋体" w:hAnsi="宋体" w:eastAsia="宋体"/>
          <w:sz w:val="24"/>
          <w:szCs w:val="24"/>
        </w:rPr>
        <w:t>环境影响评价</w:t>
      </w:r>
    </w:p>
    <w:p w14:paraId="144EF62E">
      <w:pPr>
        <w:spacing w:line="360" w:lineRule="auto"/>
        <w:ind w:firstLine="480" w:firstLineChars="200"/>
        <w:rPr>
          <w:rFonts w:hAnsi="宋体"/>
          <w:sz w:val="24"/>
        </w:rPr>
      </w:pPr>
      <w:r>
        <w:rPr>
          <w:rFonts w:hint="eastAsia" w:hAnsi="宋体"/>
          <w:sz w:val="24"/>
        </w:rPr>
        <w:t>选取的类比汇集站与本工程升压站主变规模、布置形式、电压等级均一致，根据类比工程监测结果进行分析，类比工程电场强度以及磁感应强度远低于《电磁环境控制限值》（GB 8702—2014）相应标准限值要求，因此，本项目升压站建成投运后，对升压站周围的环境产生的影响在可以接受的范围，均能满足《电磁环境控制限值》（GB8702-2014）规定限值：工频电场强度≤4000V/m，工频磁场强度≤</w:t>
      </w:r>
      <w:r>
        <w:rPr>
          <w:sz w:val="24"/>
        </w:rPr>
        <w:t>100μT</w:t>
      </w:r>
      <w:r>
        <w:rPr>
          <w:rFonts w:hint="eastAsia" w:hAnsi="宋体"/>
          <w:sz w:val="24"/>
        </w:rPr>
        <w:t>。</w:t>
      </w:r>
    </w:p>
    <w:p w14:paraId="53818076">
      <w:pPr>
        <w:pStyle w:val="3"/>
        <w:rPr>
          <w:rFonts w:ascii="宋体" w:hAnsi="宋体" w:eastAsia="宋体" w:cs="宋体"/>
          <w:sz w:val="24"/>
          <w:szCs w:val="24"/>
        </w:rPr>
      </w:pPr>
      <w:r>
        <w:rPr>
          <w:rFonts w:ascii="Times New Roman" w:hAnsi="Times New Roman" w:eastAsia="宋体"/>
          <w:sz w:val="24"/>
          <w:szCs w:val="24"/>
        </w:rPr>
        <w:t>3.2 220kV</w:t>
      </w:r>
      <w:r>
        <w:rPr>
          <w:rFonts w:hint="eastAsia" w:ascii="宋体" w:hAnsi="宋体" w:eastAsia="宋体" w:cs="宋体"/>
          <w:sz w:val="24"/>
          <w:szCs w:val="24"/>
        </w:rPr>
        <w:t>输电线路电磁环境影响预测</w:t>
      </w:r>
    </w:p>
    <w:p w14:paraId="6F36E9B6">
      <w:pPr>
        <w:adjustRightInd w:val="0"/>
        <w:snapToGrid w:val="0"/>
        <w:spacing w:line="360" w:lineRule="auto"/>
        <w:ind w:firstLine="480" w:firstLineChars="200"/>
        <w:jc w:val="left"/>
        <w:rPr>
          <w:rFonts w:ascii="宋体" w:hAnsi="宋体"/>
          <w:sz w:val="24"/>
        </w:rPr>
      </w:pPr>
      <w:r>
        <w:rPr>
          <w:rFonts w:hint="eastAsia" w:ascii="宋体" w:hAnsi="宋体"/>
          <w:sz w:val="24"/>
        </w:rPr>
        <w:t>根据《环境影响评价技术导则 输变电》(</w:t>
      </w:r>
      <w:r>
        <w:rPr>
          <w:sz w:val="24"/>
        </w:rPr>
        <w:t>HJ24-2020</w:t>
      </w:r>
      <w:r>
        <w:rPr>
          <w:rFonts w:hint="eastAsia" w:ascii="宋体" w:hAnsi="宋体"/>
          <w:sz w:val="24"/>
        </w:rPr>
        <w:t>)要求，建设项目架空线路的电磁环境影响评价等级为三级，电磁环境影响采用模式预测(理论计算)的方式进行预测分析。</w:t>
      </w:r>
    </w:p>
    <w:p w14:paraId="2CDB2C44">
      <w:pPr>
        <w:spacing w:line="360" w:lineRule="auto"/>
        <w:rPr>
          <w:rFonts w:ascii="宋体" w:hAnsi="宋体" w:cs="宋体"/>
          <w:b/>
          <w:bCs/>
          <w:sz w:val="24"/>
        </w:rPr>
      </w:pPr>
      <w:bookmarkStart w:id="19" w:name="_Toc70009680"/>
      <w:bookmarkStart w:id="20" w:name="_Toc38780084"/>
      <w:bookmarkStart w:id="21" w:name="_Toc2086"/>
      <w:bookmarkStart w:id="22" w:name="_Toc490170072"/>
      <w:r>
        <w:rPr>
          <w:b/>
          <w:bCs/>
          <w:sz w:val="24"/>
        </w:rPr>
        <w:t>3.2.1</w:t>
      </w:r>
      <w:r>
        <w:rPr>
          <w:rFonts w:hint="eastAsia" w:ascii="宋体" w:hAnsi="宋体" w:cs="宋体"/>
          <w:b/>
          <w:bCs/>
          <w:sz w:val="24"/>
        </w:rPr>
        <w:t>计算方法</w:t>
      </w:r>
      <w:bookmarkEnd w:id="19"/>
      <w:bookmarkEnd w:id="20"/>
      <w:bookmarkEnd w:id="21"/>
      <w:bookmarkEnd w:id="22"/>
    </w:p>
    <w:p w14:paraId="4DB48EDA">
      <w:pPr>
        <w:adjustRightInd w:val="0"/>
        <w:snapToGrid w:val="0"/>
        <w:spacing w:line="360" w:lineRule="auto"/>
        <w:ind w:firstLine="480" w:firstLineChars="200"/>
        <w:rPr>
          <w:rFonts w:ascii="宋体" w:hAnsi="宋体" w:cs="宋体"/>
          <w:sz w:val="24"/>
        </w:rPr>
      </w:pPr>
      <w:r>
        <w:rPr>
          <w:rFonts w:hint="eastAsia" w:ascii="宋体" w:hAnsi="宋体" w:cs="宋体"/>
          <w:sz w:val="24"/>
        </w:rPr>
        <w:t>输电线路产生的工频电场、工频磁场影响预测计算，根据《环境影响评价技术导则 输变电》(</w:t>
      </w:r>
      <w:r>
        <w:rPr>
          <w:rFonts w:hint="eastAsia"/>
          <w:sz w:val="24"/>
        </w:rPr>
        <w:t>HJ24-2020</w:t>
      </w:r>
      <w:r>
        <w:rPr>
          <w:rFonts w:hint="eastAsia" w:ascii="宋体" w:hAnsi="宋体" w:cs="宋体"/>
          <w:sz w:val="24"/>
        </w:rPr>
        <w:t>)附录</w:t>
      </w:r>
      <w:r>
        <w:rPr>
          <w:rFonts w:hint="eastAsia"/>
          <w:sz w:val="24"/>
        </w:rPr>
        <w:t>C</w:t>
      </w:r>
      <w:r>
        <w:rPr>
          <w:rFonts w:hint="eastAsia" w:ascii="宋体" w:hAnsi="宋体" w:cs="宋体"/>
          <w:sz w:val="24"/>
        </w:rPr>
        <w:t>、</w:t>
      </w:r>
      <w:r>
        <w:rPr>
          <w:rFonts w:hint="eastAsia"/>
          <w:sz w:val="24"/>
        </w:rPr>
        <w:t>D</w:t>
      </w:r>
      <w:r>
        <w:rPr>
          <w:rFonts w:hint="eastAsia" w:ascii="宋体" w:hAnsi="宋体" w:cs="宋体"/>
          <w:sz w:val="24"/>
        </w:rPr>
        <w:t>推荐的计算模式进行。</w:t>
      </w:r>
    </w:p>
    <w:p w14:paraId="6F9097A2">
      <w:pPr>
        <w:adjustRightInd w:val="0"/>
        <w:snapToGrid w:val="0"/>
        <w:spacing w:line="360" w:lineRule="auto"/>
        <w:ind w:firstLine="480" w:firstLineChars="200"/>
        <w:rPr>
          <w:rFonts w:ascii="宋体" w:hAnsi="宋体" w:cs="宋体"/>
          <w:sz w:val="24"/>
        </w:rPr>
      </w:pPr>
      <w:r>
        <w:rPr>
          <w:rFonts w:hint="eastAsia" w:ascii="宋体" w:hAnsi="宋体" w:cs="宋体"/>
          <w:sz w:val="24"/>
        </w:rPr>
        <w:t>以上计算方法适用于线路无限长而且平行于地面，由于任何线路长度都是有限的，并且有弧垂，因此需要做如下假设，设建设项目线路无限长，线路经过最大弧垂点平行于地面。这样计算出来的结果将比实际值大，对于衡量线路不超标是完全适用的，并据此指引线路的设计方案将是保守和安全的。</w:t>
      </w:r>
    </w:p>
    <w:p w14:paraId="7E0A1D91">
      <w:pPr>
        <w:adjustRightInd w:val="0"/>
        <w:snapToGrid w:val="0"/>
        <w:spacing w:line="360" w:lineRule="auto"/>
        <w:ind w:firstLine="480" w:firstLineChars="200"/>
        <w:rPr>
          <w:rFonts w:ascii="宋体" w:hAnsi="宋体" w:cs="宋体"/>
          <w:sz w:val="24"/>
        </w:rPr>
      </w:pPr>
      <w:r>
        <w:rPr>
          <w:rFonts w:hint="eastAsia" w:ascii="宋体" w:hAnsi="宋体" w:cs="宋体"/>
          <w:sz w:val="24"/>
        </w:rPr>
        <w:t>具体计算方法如下：</w:t>
      </w:r>
    </w:p>
    <w:p w14:paraId="478F49E8">
      <w:pPr>
        <w:autoSpaceDE w:val="0"/>
        <w:autoSpaceDN w:val="0"/>
        <w:adjustRightInd w:val="0"/>
        <w:snapToGrid w:val="0"/>
        <w:spacing w:line="360" w:lineRule="auto"/>
        <w:ind w:firstLine="482"/>
        <w:rPr>
          <w:rFonts w:ascii="宋体" w:hAnsi="宋体" w:cs="宋体"/>
          <w:sz w:val="24"/>
          <w:lang w:val="zh-CN"/>
        </w:rPr>
      </w:pPr>
      <w:r>
        <w:rPr>
          <w:rFonts w:hint="eastAsia" w:ascii="宋体" w:hAnsi="宋体" w:cs="宋体"/>
          <w:kern w:val="0"/>
          <w:sz w:val="24"/>
        </w:rPr>
        <w:t>(</w:t>
      </w:r>
      <w:r>
        <w:rPr>
          <w:rFonts w:hint="eastAsia"/>
          <w:sz w:val="24"/>
        </w:rPr>
        <w:t>1</w:t>
      </w:r>
      <w:r>
        <w:rPr>
          <w:rFonts w:hint="eastAsia" w:ascii="宋体" w:hAnsi="宋体" w:cs="宋体"/>
          <w:kern w:val="0"/>
          <w:sz w:val="24"/>
        </w:rPr>
        <w:t>)工频电场强度预测</w:t>
      </w:r>
    </w:p>
    <w:p w14:paraId="37CE5C53">
      <w:pPr>
        <w:autoSpaceDE w:val="0"/>
        <w:autoSpaceDN w:val="0"/>
        <w:adjustRightInd w:val="0"/>
        <w:snapToGrid w:val="0"/>
        <w:spacing w:line="360" w:lineRule="auto"/>
        <w:ind w:firstLine="482"/>
        <w:rPr>
          <w:rFonts w:ascii="宋体" w:hAnsi="宋体" w:cs="宋体"/>
          <w:sz w:val="24"/>
          <w:lang w:val="zh-CN"/>
        </w:rPr>
      </w:pPr>
      <w:r>
        <w:rPr>
          <w:rFonts w:hint="eastAsia" w:ascii="宋体" w:hAnsi="宋体" w:cs="宋体"/>
          <w:sz w:val="24"/>
          <w:lang w:val="zh-CN"/>
        </w:rPr>
        <w:t>高压输电线上的等效电荷是线电荷，由于高压输电线半径r远远小于架设高度h，所以等效电荷的位置可以认为是在输电导线的几何中心。</w:t>
      </w:r>
    </w:p>
    <w:p w14:paraId="1FF8E296">
      <w:pPr>
        <w:autoSpaceDE w:val="0"/>
        <w:autoSpaceDN w:val="0"/>
        <w:adjustRightInd w:val="0"/>
        <w:snapToGrid w:val="0"/>
        <w:spacing w:line="360" w:lineRule="auto"/>
        <w:ind w:firstLine="482"/>
        <w:rPr>
          <w:rFonts w:ascii="宋体" w:hAnsi="宋体" w:cs="宋体"/>
          <w:sz w:val="24"/>
          <w:lang w:val="zh-CN"/>
        </w:rPr>
      </w:pPr>
      <w:r>
        <w:rPr>
          <w:rFonts w:hint="eastAsia" w:ascii="宋体" w:hAnsi="宋体" w:cs="宋体"/>
          <w:sz w:val="24"/>
          <w:lang w:val="zh-CN"/>
        </w:rPr>
        <w:t>设输电线路为无限长并且平行于地面，地面可视为良导体，利用镜像法计算输电线上的等效电荷。</w:t>
      </w:r>
    </w:p>
    <w:p w14:paraId="25598422">
      <w:pPr>
        <w:autoSpaceDE w:val="0"/>
        <w:autoSpaceDN w:val="0"/>
        <w:adjustRightInd w:val="0"/>
        <w:snapToGrid w:val="0"/>
        <w:spacing w:line="360" w:lineRule="auto"/>
        <w:ind w:firstLine="482"/>
        <w:rPr>
          <w:rFonts w:ascii="宋体" w:hAnsi="宋体" w:cs="宋体"/>
          <w:sz w:val="24"/>
          <w:lang w:val="zh-CN"/>
        </w:rPr>
      </w:pPr>
      <w:r>
        <w:rPr>
          <w:rFonts w:hint="eastAsia" w:ascii="宋体" w:hAnsi="宋体" w:cs="宋体"/>
          <w:sz w:val="24"/>
          <w:lang w:val="zh-CN"/>
        </w:rPr>
        <w:t>为了计算多导线线路中导线上的等效电荷，可写出下列矩阵方程：</w:t>
      </w:r>
    </w:p>
    <w:p w14:paraId="0B255536">
      <w:pPr>
        <w:pStyle w:val="39"/>
        <w:ind w:firstLine="199" w:firstLineChars="83"/>
        <w:jc w:val="center"/>
        <w:rPr>
          <w:rStyle w:val="40"/>
          <w:rFonts w:eastAsia="宋体"/>
        </w:rPr>
      </w:pPr>
      <w:r>
        <w:rPr>
          <w:rFonts w:hint="eastAsia" w:hAnsi="宋体" w:eastAsia="宋体"/>
          <w:position w:val="-68"/>
        </w:rPr>
        <w:object>
          <v:shape id="_x0000_i1027" o:spt="75" type="#_x0000_t75" style="height:83.25pt;width:188.2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p>
    <w:p w14:paraId="0C9B00CA">
      <w:pPr>
        <w:autoSpaceDE w:val="0"/>
        <w:autoSpaceDN w:val="0"/>
        <w:adjustRightInd w:val="0"/>
        <w:snapToGrid w:val="0"/>
        <w:spacing w:line="470" w:lineRule="exact"/>
        <w:ind w:firstLine="482"/>
        <w:rPr>
          <w:rFonts w:ascii="宋体" w:hAnsi="宋体" w:cs="宋体"/>
          <w:sz w:val="24"/>
          <w:lang w:val="zh-CN"/>
        </w:rPr>
      </w:pPr>
      <w:r>
        <w:rPr>
          <w:rFonts w:hint="eastAsia" w:ascii="宋体" w:hAnsi="宋体" w:cs="宋体"/>
          <w:sz w:val="24"/>
          <w:lang w:val="zh-CN"/>
        </w:rPr>
        <w:t>式中：</w:t>
      </w:r>
      <w:r>
        <w:rPr>
          <w:rFonts w:hint="eastAsia"/>
          <w:sz w:val="24"/>
        </w:rPr>
        <w:t>U</w:t>
      </w:r>
      <w:r>
        <w:rPr>
          <w:rFonts w:hint="eastAsia" w:ascii="宋体" w:hAnsi="宋体" w:cs="宋体"/>
          <w:sz w:val="24"/>
          <w:lang w:val="zh-CN"/>
        </w:rPr>
        <w:t>——各导线对地电压的单列矩阵；</w:t>
      </w:r>
    </w:p>
    <w:p w14:paraId="416E2740">
      <w:pPr>
        <w:autoSpaceDE w:val="0"/>
        <w:autoSpaceDN w:val="0"/>
        <w:adjustRightInd w:val="0"/>
        <w:snapToGrid w:val="0"/>
        <w:spacing w:line="470" w:lineRule="exact"/>
        <w:ind w:firstLine="1200" w:firstLineChars="500"/>
        <w:rPr>
          <w:rFonts w:ascii="宋体" w:hAnsi="宋体" w:cs="宋体"/>
          <w:sz w:val="24"/>
          <w:lang w:val="zh-CN"/>
        </w:rPr>
      </w:pPr>
      <w:bookmarkStart w:id="23" w:name="_Toc141414697"/>
      <w:r>
        <w:rPr>
          <w:rFonts w:hint="eastAsia"/>
          <w:sz w:val="24"/>
        </w:rPr>
        <w:t>Q</w:t>
      </w:r>
      <w:r>
        <w:rPr>
          <w:rFonts w:hint="eastAsia" w:ascii="宋体" w:hAnsi="宋体" w:cs="宋体"/>
          <w:sz w:val="24"/>
          <w:lang w:val="zh-CN"/>
        </w:rPr>
        <w:t>——各导线上等效电荷的单列矩阵；</w:t>
      </w:r>
      <w:bookmarkEnd w:id="23"/>
    </w:p>
    <w:p w14:paraId="37E960AB">
      <w:pPr>
        <w:autoSpaceDE w:val="0"/>
        <w:autoSpaceDN w:val="0"/>
        <w:adjustRightInd w:val="0"/>
        <w:snapToGrid w:val="0"/>
        <w:spacing w:line="470" w:lineRule="exact"/>
        <w:ind w:firstLine="1200" w:firstLineChars="500"/>
        <w:rPr>
          <w:rFonts w:ascii="宋体" w:hAnsi="宋体" w:cs="宋体"/>
          <w:sz w:val="24"/>
          <w:lang w:val="zh-CN"/>
        </w:rPr>
      </w:pPr>
      <w:r>
        <w:rPr>
          <w:sz w:val="24"/>
        </w:rPr>
        <w:t>λ</w:t>
      </w:r>
      <w:r>
        <w:rPr>
          <w:rFonts w:hint="eastAsia" w:ascii="宋体" w:hAnsi="宋体" w:cs="宋体"/>
          <w:sz w:val="24"/>
          <w:lang w:val="zh-CN"/>
        </w:rPr>
        <w:t>——各导线的电位系数组成的</w:t>
      </w:r>
      <w:r>
        <w:rPr>
          <w:rFonts w:hint="eastAsia"/>
          <w:sz w:val="24"/>
        </w:rPr>
        <w:t>m</w:t>
      </w:r>
      <w:r>
        <w:rPr>
          <w:rFonts w:hint="eastAsia" w:ascii="宋体" w:hAnsi="宋体" w:cs="宋体"/>
          <w:sz w:val="24"/>
          <w:lang w:val="zh-CN"/>
        </w:rPr>
        <w:t>阶方阵(</w:t>
      </w:r>
      <w:r>
        <w:rPr>
          <w:rFonts w:hint="eastAsia"/>
          <w:sz w:val="24"/>
        </w:rPr>
        <w:t>m</w:t>
      </w:r>
      <w:r>
        <w:rPr>
          <w:rFonts w:hint="eastAsia" w:ascii="宋体" w:hAnsi="宋体" w:cs="宋体"/>
          <w:sz w:val="24"/>
          <w:lang w:val="zh-CN"/>
        </w:rPr>
        <w:t>为导线数目)。</w:t>
      </w:r>
    </w:p>
    <w:p w14:paraId="5FA3F50B">
      <w:pPr>
        <w:autoSpaceDE w:val="0"/>
        <w:autoSpaceDN w:val="0"/>
        <w:adjustRightInd w:val="0"/>
        <w:snapToGrid w:val="0"/>
        <w:spacing w:line="470" w:lineRule="exact"/>
        <w:ind w:firstLine="480" w:firstLineChars="200"/>
        <w:rPr>
          <w:rFonts w:ascii="宋体" w:hAnsi="宋体" w:cs="宋体"/>
          <w:sz w:val="24"/>
          <w:lang w:val="zh-CN"/>
        </w:rPr>
      </w:pPr>
      <w:r>
        <w:rPr>
          <w:rFonts w:hint="eastAsia" w:ascii="宋体" w:hAnsi="宋体" w:cs="宋体"/>
          <w:sz w:val="24"/>
          <w:lang w:val="zh-CN"/>
        </w:rPr>
        <w:t>[</w:t>
      </w:r>
      <w:r>
        <w:rPr>
          <w:rFonts w:hint="eastAsia"/>
          <w:sz w:val="24"/>
        </w:rPr>
        <w:t>U</w:t>
      </w:r>
      <w:r>
        <w:rPr>
          <w:rFonts w:hint="eastAsia" w:ascii="宋体" w:hAnsi="宋体" w:cs="宋体"/>
          <w:sz w:val="24"/>
          <w:lang w:val="zh-CN"/>
        </w:rPr>
        <w:t>]矩阵可由输电线的电压和相位确定，从环境保护考虑以额定电压的</w:t>
      </w:r>
      <w:r>
        <w:rPr>
          <w:rFonts w:hint="eastAsia"/>
          <w:sz w:val="24"/>
        </w:rPr>
        <w:t>1.05</w:t>
      </w:r>
      <w:r>
        <w:rPr>
          <w:rFonts w:hint="eastAsia" w:ascii="宋体" w:hAnsi="宋体" w:cs="宋体"/>
          <w:sz w:val="24"/>
          <w:lang w:val="zh-CN"/>
        </w:rPr>
        <w:t>倍作为计算电压。</w:t>
      </w:r>
    </w:p>
    <w:p w14:paraId="38591464">
      <w:pPr>
        <w:autoSpaceDE w:val="0"/>
        <w:autoSpaceDN w:val="0"/>
        <w:adjustRightInd w:val="0"/>
        <w:snapToGrid w:val="0"/>
        <w:spacing w:line="470" w:lineRule="exact"/>
        <w:ind w:firstLine="480" w:firstLineChars="200"/>
        <w:rPr>
          <w:rFonts w:ascii="宋体" w:hAnsi="宋体" w:cs="宋体"/>
          <w:sz w:val="24"/>
          <w:lang w:val="zh-CN"/>
        </w:rPr>
      </w:pPr>
      <w:r>
        <w:rPr>
          <w:rFonts w:hint="eastAsia" w:ascii="宋体" w:hAnsi="宋体" w:cs="宋体"/>
          <w:sz w:val="24"/>
          <w:lang w:val="zh-CN"/>
        </w:rPr>
        <w:t>对于</w:t>
      </w:r>
      <w:r>
        <w:rPr>
          <w:rFonts w:hint="eastAsia"/>
          <w:sz w:val="24"/>
        </w:rPr>
        <w:t>220kV</w:t>
      </w:r>
      <w:r>
        <w:rPr>
          <w:rFonts w:hint="eastAsia" w:ascii="宋体" w:hAnsi="宋体" w:cs="宋体"/>
          <w:sz w:val="24"/>
          <w:lang w:val="zh-CN"/>
        </w:rPr>
        <w:t>三相导线，各相导线对地电压为：</w:t>
      </w:r>
    </w:p>
    <w:p w14:paraId="7056B0A9">
      <w:pPr>
        <w:autoSpaceDE w:val="0"/>
        <w:autoSpaceDN w:val="0"/>
        <w:adjustRightInd w:val="0"/>
        <w:snapToGrid w:val="0"/>
        <w:spacing w:line="360" w:lineRule="auto"/>
        <w:ind w:firstLine="900" w:firstLineChars="450"/>
        <w:rPr>
          <w:rFonts w:ascii="宋体" w:hAnsi="宋体" w:cs="宋体"/>
          <w:lang w:val="zh-CN"/>
        </w:rPr>
      </w:pPr>
      <w:r>
        <w:rPr>
          <w:rFonts w:hint="eastAsia" w:ascii="宋体" w:hAnsi="宋体" w:cs="宋体"/>
          <w:kern w:val="0"/>
          <w:position w:val="-14"/>
          <w:sz w:val="20"/>
          <w:lang w:val="zh-CN"/>
        </w:rPr>
        <w:object>
          <v:shape id="_x0000_i1028" o:spt="75" type="#_x0000_t75" style="height:22.5pt;width:254.25pt;" o:ole="t" filled="f" o:preferrelative="t" stroked="f" coordsize="21600,21600">
            <v:path/>
            <v:fill on="f" focussize="0,0"/>
            <v:stroke on="f" joinstyle="miter"/>
            <v:imagedata r:id="rId27" o:title=""/>
            <o:lock v:ext="edit" aspectratio="t"/>
            <w10:wrap type="none"/>
            <w10:anchorlock/>
          </v:shape>
          <o:OLEObject Type="Embed" ProgID="Equations" ShapeID="_x0000_i1028" DrawAspect="Content" ObjectID="_1468075728" r:id="rId26">
            <o:LockedField>false</o:LockedField>
          </o:OLEObject>
        </w:object>
      </w:r>
    </w:p>
    <w:p w14:paraId="1852D3D1">
      <w:pPr>
        <w:autoSpaceDE w:val="0"/>
        <w:autoSpaceDN w:val="0"/>
        <w:adjustRightInd w:val="0"/>
        <w:snapToGrid w:val="0"/>
        <w:spacing w:line="360" w:lineRule="auto"/>
        <w:ind w:firstLine="480"/>
        <w:rPr>
          <w:rFonts w:ascii="宋体" w:hAnsi="宋体" w:cs="宋体"/>
          <w:sz w:val="24"/>
          <w:lang w:val="zh-CN"/>
        </w:rPr>
      </w:pPr>
      <w:r>
        <w:rPr>
          <w:rFonts w:hint="eastAsia"/>
          <w:sz w:val="24"/>
        </w:rPr>
        <w:t>220kV</w:t>
      </w:r>
      <w:r>
        <w:rPr>
          <w:rFonts w:hint="eastAsia" w:ascii="宋体" w:hAnsi="宋体" w:cs="宋体"/>
          <w:sz w:val="24"/>
          <w:lang w:val="zh-CN"/>
        </w:rPr>
        <w:t>各相导线对地电压分量为：</w:t>
      </w:r>
    </w:p>
    <w:p w14:paraId="084FEFCD">
      <w:pPr>
        <w:autoSpaceDE w:val="0"/>
        <w:autoSpaceDN w:val="0"/>
        <w:adjustRightInd w:val="0"/>
        <w:spacing w:line="360" w:lineRule="auto"/>
        <w:jc w:val="center"/>
        <w:rPr>
          <w:rFonts w:ascii="宋体" w:hAnsi="宋体" w:cs="宋体"/>
          <w:sz w:val="24"/>
          <w:lang w:val="zh-CN"/>
        </w:rPr>
      </w:pPr>
      <w:r>
        <w:rPr>
          <w:sz w:val="24"/>
          <w:lang w:val="zh-CN"/>
        </w:rPr>
        <w:t>U</w:t>
      </w:r>
      <w:r>
        <w:rPr>
          <w:sz w:val="24"/>
          <w:vertAlign w:val="subscript"/>
          <w:lang w:val="zh-CN"/>
        </w:rPr>
        <w:t>A</w:t>
      </w:r>
      <w:r>
        <w:rPr>
          <w:sz w:val="24"/>
          <w:lang w:val="zh-CN"/>
        </w:rPr>
        <w:t>=</w:t>
      </w:r>
      <w:r>
        <w:rPr>
          <w:rFonts w:hint="eastAsia" w:ascii="宋体" w:hAnsi="宋体" w:cs="宋体"/>
          <w:sz w:val="24"/>
          <w:lang w:val="zh-CN"/>
        </w:rPr>
        <w:t>(</w:t>
      </w:r>
      <w:r>
        <w:rPr>
          <w:sz w:val="24"/>
          <w:lang w:val="zh-CN"/>
        </w:rPr>
        <w:t>113.37+j0</w:t>
      </w:r>
      <w:r>
        <w:rPr>
          <w:rFonts w:hint="eastAsia" w:ascii="宋体" w:hAnsi="宋体" w:cs="宋体"/>
          <w:sz w:val="24"/>
          <w:lang w:val="zh-CN"/>
        </w:rPr>
        <w:t>)</w:t>
      </w:r>
      <w:r>
        <w:rPr>
          <w:sz w:val="24"/>
          <w:lang w:val="zh-CN"/>
        </w:rPr>
        <w:t>kV</w:t>
      </w:r>
      <w:r>
        <w:rPr>
          <w:rFonts w:hint="eastAsia" w:ascii="宋体" w:hAnsi="宋体" w:cs="宋体"/>
          <w:sz w:val="24"/>
          <w:lang w:val="zh-CN"/>
        </w:rPr>
        <w:t>；</w:t>
      </w:r>
      <w:r>
        <w:rPr>
          <w:sz w:val="24"/>
          <w:lang w:val="zh-CN"/>
        </w:rPr>
        <w:t>U</w:t>
      </w:r>
      <w:r>
        <w:rPr>
          <w:sz w:val="24"/>
          <w:vertAlign w:val="subscript"/>
          <w:lang w:val="zh-CN"/>
        </w:rPr>
        <w:t>B</w:t>
      </w:r>
      <w:r>
        <w:rPr>
          <w:sz w:val="24"/>
          <w:lang w:val="zh-CN"/>
        </w:rPr>
        <w:t>=(-66.68+j115.5)kV</w:t>
      </w:r>
      <w:r>
        <w:rPr>
          <w:rFonts w:hint="eastAsia" w:ascii="宋体" w:hAnsi="宋体" w:cs="宋体"/>
          <w:sz w:val="24"/>
          <w:lang w:val="zh-CN"/>
        </w:rPr>
        <w:t>；</w:t>
      </w:r>
      <w:r>
        <w:rPr>
          <w:sz w:val="24"/>
          <w:lang w:val="zh-CN"/>
        </w:rPr>
        <w:t>U</w:t>
      </w:r>
      <w:r>
        <w:rPr>
          <w:sz w:val="24"/>
          <w:vertAlign w:val="subscript"/>
          <w:lang w:val="zh-CN"/>
        </w:rPr>
        <w:t>C</w:t>
      </w:r>
      <w:r>
        <w:rPr>
          <w:sz w:val="24"/>
          <w:lang w:val="zh-CN"/>
        </w:rPr>
        <w:t>=(-66.68-j115.5)kV</w:t>
      </w:r>
    </w:p>
    <w:p w14:paraId="7644ED8E">
      <w:pPr>
        <w:pStyle w:val="5"/>
        <w:ind w:right="-23"/>
        <w:jc w:val="center"/>
        <w:rPr>
          <w:rFonts w:ascii="宋体" w:hAnsi="宋体" w:cs="宋体"/>
          <w:szCs w:val="27"/>
        </w:rPr>
      </w:pPr>
      <w:r>
        <w:rPr>
          <w:rFonts w:hint="eastAsia" w:ascii="宋体" w:hAnsi="宋体" w:cs="宋体"/>
        </w:rPr>
        <w:drawing>
          <wp:inline distT="0" distB="0" distL="114300" distR="114300">
            <wp:extent cx="2635250" cy="2291080"/>
            <wp:effectExtent l="0" t="0" r="12700" b="13970"/>
            <wp:docPr id="17" name="图片 5"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图A1"/>
                    <pic:cNvPicPr>
                      <a:picLocks noChangeAspect="1"/>
                    </pic:cNvPicPr>
                  </pic:nvPicPr>
                  <pic:blipFill>
                    <a:blip r:embed="rId28" cstate="print"/>
                    <a:stretch>
                      <a:fillRect/>
                    </a:stretch>
                  </pic:blipFill>
                  <pic:spPr>
                    <a:xfrm>
                      <a:off x="0" y="0"/>
                      <a:ext cx="2635250" cy="2291080"/>
                    </a:xfrm>
                    <a:prstGeom prst="rect">
                      <a:avLst/>
                    </a:prstGeom>
                    <a:noFill/>
                    <a:ln>
                      <a:noFill/>
                    </a:ln>
                  </pic:spPr>
                </pic:pic>
              </a:graphicData>
            </a:graphic>
          </wp:inline>
        </w:drawing>
      </w:r>
    </w:p>
    <w:p w14:paraId="7E01467F">
      <w:pPr>
        <w:pStyle w:val="5"/>
        <w:ind w:right="-23" w:firstLine="422"/>
        <w:jc w:val="center"/>
        <w:rPr>
          <w:rFonts w:ascii="宋体" w:hAnsi="宋体" w:cs="宋体"/>
          <w:b/>
          <w:szCs w:val="21"/>
          <w:lang w:val="zh-CN"/>
        </w:rPr>
      </w:pPr>
      <w:r>
        <w:rPr>
          <w:rFonts w:hint="eastAsia" w:ascii="宋体" w:hAnsi="宋体" w:cs="宋体"/>
          <w:b/>
          <w:szCs w:val="21"/>
          <w:lang w:val="zh-CN"/>
        </w:rPr>
        <w:t>图</w:t>
      </w:r>
      <w:r>
        <w:rPr>
          <w:b/>
          <w:szCs w:val="21"/>
        </w:rPr>
        <w:t>3.1</w:t>
      </w:r>
      <w:r>
        <w:rPr>
          <w:b/>
          <w:szCs w:val="21"/>
          <w:lang w:val="zh-CN"/>
        </w:rPr>
        <w:t>-1</w:t>
      </w:r>
      <w:r>
        <w:rPr>
          <w:rFonts w:hint="eastAsia" w:ascii="宋体" w:hAnsi="宋体" w:cs="宋体"/>
          <w:b/>
          <w:szCs w:val="21"/>
          <w:lang w:val="zh-CN"/>
        </w:rPr>
        <w:t xml:space="preserve">  对地电压计算图</w:t>
      </w:r>
    </w:p>
    <w:p w14:paraId="51161ED9">
      <w:pPr>
        <w:pStyle w:val="5"/>
        <w:ind w:right="-23" w:firstLine="482"/>
        <w:jc w:val="center"/>
        <w:rPr>
          <w:rFonts w:ascii="宋体" w:hAnsi="宋体" w:cs="宋体"/>
          <w:b/>
          <w:sz w:val="24"/>
          <w:lang w:val="zh-CN"/>
        </w:rPr>
      </w:pPr>
    </w:p>
    <w:p w14:paraId="6F7D5E33">
      <w:pPr>
        <w:autoSpaceDE w:val="0"/>
        <w:autoSpaceDN w:val="0"/>
        <w:adjustRightInd w:val="0"/>
        <w:spacing w:line="360" w:lineRule="auto"/>
        <w:ind w:firstLine="480"/>
        <w:rPr>
          <w:rFonts w:ascii="宋体" w:hAnsi="宋体" w:cs="宋体"/>
          <w:sz w:val="24"/>
          <w:lang w:val="zh-CN"/>
        </w:rPr>
      </w:pPr>
      <w:r>
        <w:rPr>
          <w:rFonts w:hint="eastAsia" w:ascii="宋体" w:hAnsi="宋体" w:cs="宋体"/>
          <w:sz w:val="24"/>
          <w:lang w:val="zh-CN"/>
        </w:rPr>
        <w:t>[</w:t>
      </w:r>
      <w:r>
        <w:rPr>
          <w:sz w:val="24"/>
          <w:lang w:val="zh-CN"/>
        </w:rPr>
        <w:t>λ</w:t>
      </w:r>
      <w:r>
        <w:rPr>
          <w:rFonts w:hint="eastAsia" w:ascii="宋体" w:hAnsi="宋体" w:cs="宋体"/>
          <w:sz w:val="24"/>
          <w:lang w:val="zh-CN"/>
        </w:rPr>
        <w:t>]矩阵由镜像原理求得。地面为电位等于零的平面，地面的感应电荷可由对应地面导线的镜像电荷代替，用</w:t>
      </w:r>
      <w:r>
        <w:rPr>
          <w:rFonts w:hint="eastAsia"/>
          <w:sz w:val="24"/>
          <w:lang w:val="zh-CN"/>
        </w:rPr>
        <w:t>i</w:t>
      </w:r>
      <w:r>
        <w:rPr>
          <w:rFonts w:hint="eastAsia" w:ascii="宋体" w:hAnsi="宋体" w:cs="宋体"/>
          <w:sz w:val="24"/>
          <w:lang w:val="zh-CN"/>
        </w:rPr>
        <w:t>，</w:t>
      </w:r>
      <w:r>
        <w:rPr>
          <w:rFonts w:hint="eastAsia"/>
          <w:sz w:val="24"/>
          <w:lang w:val="zh-CN"/>
        </w:rPr>
        <w:t>j</w:t>
      </w:r>
      <w:r>
        <w:rPr>
          <w:rFonts w:hint="eastAsia" w:ascii="宋体" w:hAnsi="宋体" w:cs="宋体"/>
          <w:sz w:val="24"/>
          <w:lang w:val="zh-CN"/>
        </w:rPr>
        <w:t>，…表示相互平行的实际导线，用</w:t>
      </w:r>
      <w:r>
        <w:rPr>
          <w:rFonts w:hint="eastAsia"/>
          <w:sz w:val="24"/>
          <w:lang w:val="zh-CN"/>
        </w:rPr>
        <w:t>i′</w:t>
      </w:r>
      <w:r>
        <w:rPr>
          <w:rFonts w:hint="eastAsia" w:ascii="宋体" w:hAnsi="宋体" w:cs="宋体"/>
          <w:sz w:val="24"/>
          <w:lang w:val="zh-CN"/>
        </w:rPr>
        <w:t>，</w:t>
      </w:r>
      <w:r>
        <w:rPr>
          <w:rFonts w:hint="eastAsia"/>
          <w:sz w:val="24"/>
          <w:lang w:val="zh-CN"/>
        </w:rPr>
        <w:t>j′</w:t>
      </w:r>
      <w:r>
        <w:rPr>
          <w:rFonts w:hint="eastAsia" w:ascii="宋体" w:hAnsi="宋体" w:cs="宋体"/>
          <w:sz w:val="24"/>
          <w:lang w:val="zh-CN"/>
        </w:rPr>
        <w:t>，…表示它们的镜像，电位系数可写为：</w:t>
      </w:r>
    </w:p>
    <w:p w14:paraId="41BCC761">
      <w:pPr>
        <w:pStyle w:val="39"/>
        <w:spacing w:line="360" w:lineRule="auto"/>
        <w:ind w:firstLine="199" w:firstLineChars="83"/>
        <w:jc w:val="center"/>
      </w:pPr>
      <w:r>
        <w:rPr>
          <w:rFonts w:hint="eastAsia"/>
          <w:position w:val="-30"/>
        </w:rPr>
        <w:object>
          <v:shape id="_x0000_i1029" o:spt="75" type="#_x0000_t75" style="height:34.5pt;width:82.5pt;" o:ole="t" filled="f" o:preferrelative="t" stroked="f" coordsize="21600,21600">
            <v:path/>
            <v:fill on="f" focussize="0,0"/>
            <v:stroke on="f" joinstyle="miter"/>
            <v:imagedata r:id="rId30" o:title=""/>
            <o:lock v:ext="edit" aspectratio="t"/>
            <w10:wrap type="none"/>
            <w10:anchorlock/>
          </v:shape>
          <o:OLEObject Type="Embed" ProgID="Equations" ShapeID="_x0000_i1029" DrawAspect="Content" ObjectID="_1468075729" r:id="rId29">
            <o:LockedField>false</o:LockedField>
          </o:OLEObject>
        </w:object>
      </w:r>
      <w:r>
        <w:rPr>
          <w:rFonts w:hint="eastAsia"/>
        </w:rPr>
        <w:t xml:space="preserve">      </w:t>
      </w:r>
      <w:r>
        <w:rPr>
          <w:rFonts w:hint="eastAsia"/>
          <w:position w:val="-32"/>
        </w:rPr>
        <w:object>
          <v:shape id="_x0000_i1030" o:spt="75" type="#_x0000_t75" style="height:37.5pt;width:79.5pt;" o:ole="t" filled="f" o:preferrelative="t" stroked="f" coordsize="21600,21600">
            <v:path/>
            <v:fill on="f" focussize="0,0"/>
            <v:stroke on="f" joinstyle="miter"/>
            <v:imagedata r:id="rId32" o:title=""/>
            <o:lock v:ext="edit" aspectratio="t"/>
            <w10:wrap type="none"/>
            <w10:anchorlock/>
          </v:shape>
          <o:OLEObject Type="Embed" ProgID="Equations" ShapeID="_x0000_i1030" DrawAspect="Content" ObjectID="_1468075730" r:id="rId31">
            <o:LockedField>false</o:LockedField>
          </o:OLEObject>
        </w:object>
      </w:r>
      <w:r>
        <w:rPr>
          <w:rFonts w:hint="eastAsia"/>
        </w:rPr>
        <w:t xml:space="preserve">      </w:t>
      </w:r>
      <w:r>
        <w:rPr>
          <w:rFonts w:hint="eastAsia"/>
          <w:position w:val="-14"/>
        </w:rPr>
        <w:object>
          <v:shape id="_x0000_i1031" o:spt="75" type="#_x0000_t75" style="height:19.5pt;width:42pt;" o:ole="t" filled="f" o:preferrelative="t" stroked="f" coordsize="21600,21600">
            <v:path/>
            <v:fill on="f" focussize="0,0"/>
            <v:stroke on="f" joinstyle="miter"/>
            <v:imagedata r:id="rId34" o:title=""/>
            <o:lock v:ext="edit" aspectratio="t"/>
            <w10:wrap type="none"/>
            <w10:anchorlock/>
          </v:shape>
          <o:OLEObject Type="Embed" ProgID="Equations" ShapeID="_x0000_i1031" DrawAspect="Content" ObjectID="_1468075731" r:id="rId33">
            <o:LockedField>false</o:LockedField>
          </o:OLEObject>
        </w:object>
      </w:r>
    </w:p>
    <w:p w14:paraId="659F5B76">
      <w:pPr>
        <w:pStyle w:val="41"/>
        <w:spacing w:line="360" w:lineRule="auto"/>
        <w:ind w:firstLine="480"/>
        <w:rPr>
          <w:rFonts w:eastAsia="宋体" w:cs="宋体"/>
          <w:szCs w:val="24"/>
        </w:rPr>
      </w:pPr>
      <w:r>
        <w:rPr>
          <w:rFonts w:hint="eastAsia" w:eastAsia="宋体" w:cs="宋体"/>
          <w:szCs w:val="24"/>
          <w:lang w:val="zh-CN"/>
        </w:rPr>
        <w:t>式中：</w:t>
      </w:r>
      <w:r>
        <w:rPr>
          <w:rFonts w:hint="eastAsia" w:eastAsia="宋体" w:cs="宋体"/>
          <w:i/>
          <w:szCs w:val="24"/>
          <w:lang w:val="zh-CN"/>
        </w:rPr>
        <w:t>ε</w:t>
      </w:r>
      <w:r>
        <w:rPr>
          <w:rFonts w:hint="eastAsia" w:eastAsia="宋体" w:cs="宋体"/>
          <w:i/>
          <w:szCs w:val="24"/>
          <w:vertAlign w:val="subscript"/>
          <w:lang w:val="zh-CN"/>
        </w:rPr>
        <w:t>0</w:t>
      </w:r>
      <w:r>
        <w:rPr>
          <w:rFonts w:hint="eastAsia" w:eastAsia="宋体" w:cs="宋体"/>
          <w:szCs w:val="24"/>
          <w:lang w:val="zh-CN"/>
        </w:rPr>
        <w:t>——真空介电常数，</w:t>
      </w:r>
      <w:r>
        <w:rPr>
          <w:rFonts w:hint="eastAsia" w:eastAsia="宋体" w:cs="宋体"/>
          <w:position w:val="-24"/>
          <w:szCs w:val="24"/>
        </w:rPr>
        <w:object>
          <v:shape id="_x0000_i1032" o:spt="75" type="#_x0000_t75" style="height:27pt;width:90pt;" o:ole="t" filled="f" o:preferrelative="t" stroked="f" coordsize="21600,21600">
            <v:path/>
            <v:fill on="f" focussize="0,0"/>
            <v:stroke on="f" joinstyle="miter"/>
            <v:imagedata r:id="rId36" o:title=""/>
            <o:lock v:ext="edit" aspectratio="t"/>
            <w10:wrap type="none"/>
            <w10:anchorlock/>
          </v:shape>
          <o:OLEObject Type="Embed" ProgID="Equations" ShapeID="_x0000_i1032" DrawAspect="Content" ObjectID="_1468075732" r:id="rId35">
            <o:LockedField>false</o:LockedField>
          </o:OLEObject>
        </w:object>
      </w:r>
      <w:r>
        <w:rPr>
          <w:rFonts w:hint="eastAsia" w:eastAsia="宋体" w:cs="宋体"/>
          <w:szCs w:val="24"/>
        </w:rPr>
        <w:t>；</w:t>
      </w:r>
    </w:p>
    <w:p w14:paraId="3D9A6F72">
      <w:pPr>
        <w:pStyle w:val="5"/>
        <w:spacing w:line="360" w:lineRule="auto"/>
        <w:ind w:right="-23" w:firstLine="1178" w:firstLineChars="491"/>
        <w:rPr>
          <w:rFonts w:ascii="宋体" w:hAnsi="宋体" w:cs="宋体"/>
          <w:sz w:val="24"/>
        </w:rPr>
      </w:pPr>
      <w:r>
        <w:rPr>
          <w:rFonts w:hint="eastAsia" w:ascii="宋体" w:hAnsi="宋体" w:cs="宋体"/>
          <w:i/>
          <w:sz w:val="24"/>
        </w:rPr>
        <w:t>R</w:t>
      </w:r>
      <w:r>
        <w:rPr>
          <w:rFonts w:hint="eastAsia" w:ascii="宋体" w:hAnsi="宋体" w:cs="宋体"/>
          <w:i/>
          <w:sz w:val="24"/>
          <w:vertAlign w:val="subscript"/>
        </w:rPr>
        <w:t>i</w:t>
      </w:r>
      <w:r>
        <w:rPr>
          <w:rFonts w:hint="eastAsia" w:ascii="宋体" w:hAnsi="宋体" w:cs="宋体"/>
          <w:sz w:val="24"/>
        </w:rPr>
        <w:t>——</w:t>
      </w:r>
      <w:r>
        <w:rPr>
          <w:rFonts w:hint="eastAsia" w:ascii="宋体" w:hAnsi="宋体" w:cs="宋体"/>
          <w:sz w:val="24"/>
          <w:lang w:val="zh-CN"/>
        </w:rPr>
        <w:t>输电导线半径，对于分裂导线可用等效单根导线半径代入</w:t>
      </w:r>
      <w:r>
        <w:rPr>
          <w:rFonts w:hint="eastAsia" w:ascii="宋体" w:hAnsi="宋体" w:cs="宋体"/>
          <w:sz w:val="24"/>
        </w:rPr>
        <w:t>，</w:t>
      </w:r>
      <w:r>
        <w:rPr>
          <w:rFonts w:hint="eastAsia" w:ascii="宋体" w:hAnsi="宋体" w:cs="宋体"/>
          <w:i/>
          <w:sz w:val="24"/>
        </w:rPr>
        <w:t>R</w:t>
      </w:r>
      <w:r>
        <w:rPr>
          <w:rFonts w:hint="eastAsia" w:ascii="宋体" w:hAnsi="宋体" w:cs="宋体"/>
          <w:i/>
          <w:sz w:val="24"/>
          <w:vertAlign w:val="subscript"/>
        </w:rPr>
        <w:t>i</w:t>
      </w:r>
      <w:r>
        <w:rPr>
          <w:rFonts w:hint="eastAsia" w:ascii="宋体" w:hAnsi="宋体" w:cs="宋体"/>
          <w:sz w:val="24"/>
        </w:rPr>
        <w:t>的计</w:t>
      </w:r>
      <w:r>
        <w:rPr>
          <w:rFonts w:hint="eastAsia" w:ascii="宋体" w:hAnsi="宋体" w:cs="宋体"/>
          <w:sz w:val="24"/>
          <w:lang w:val="zh-CN"/>
        </w:rPr>
        <w:t>算式为：</w:t>
      </w:r>
    </w:p>
    <w:p w14:paraId="00E4F482">
      <w:pPr>
        <w:pStyle w:val="39"/>
        <w:spacing w:line="360" w:lineRule="auto"/>
        <w:ind w:firstLine="2916" w:firstLineChars="1215"/>
        <w:rPr>
          <w:rFonts w:hAnsi="宋体" w:eastAsia="宋体"/>
        </w:rPr>
      </w:pPr>
      <w:bookmarkStart w:id="24" w:name="_Toc141414698"/>
      <w:r>
        <w:rPr>
          <w:rFonts w:hint="eastAsia" w:hAnsi="宋体" w:eastAsia="宋体"/>
          <w:position w:val="-26"/>
        </w:rPr>
        <w:object>
          <v:shape id="_x0000_i1033" o:spt="75" type="#_x0000_t75" style="height:34.5pt;width:61.5pt;" o:ole="t" filled="f" o:preferrelative="t" stroked="f" coordsize="21600,21600">
            <v:path/>
            <v:fill on="f" focussize="0,0"/>
            <v:stroke on="f" joinstyle="miter"/>
            <v:imagedata r:id="rId38" o:title=""/>
            <o:lock v:ext="edit" aspectratio="t"/>
            <w10:wrap type="none"/>
            <w10:anchorlock/>
          </v:shape>
          <o:OLEObject Type="Embed" ProgID="Equations" ShapeID="_x0000_i1033" DrawAspect="Content" ObjectID="_1468075733" r:id="rId37">
            <o:LockedField>false</o:LockedField>
          </o:OLEObject>
        </w:object>
      </w:r>
      <w:r>
        <w:rPr>
          <w:rFonts w:hint="eastAsia" w:hAnsi="宋体" w:eastAsia="宋体"/>
        </w:rPr>
        <w:t xml:space="preserve"> </w:t>
      </w:r>
      <w:bookmarkEnd w:id="24"/>
    </w:p>
    <w:p w14:paraId="2361B929">
      <w:pPr>
        <w:pStyle w:val="42"/>
        <w:spacing w:line="360" w:lineRule="auto"/>
        <w:rPr>
          <w:rFonts w:eastAsia="宋体"/>
          <w:szCs w:val="24"/>
        </w:rPr>
      </w:pPr>
      <w:r>
        <w:rPr>
          <w:rFonts w:hint="eastAsia" w:eastAsia="宋体"/>
          <w:szCs w:val="24"/>
        </w:rPr>
        <w:t>式中：</w:t>
      </w:r>
      <w:r>
        <w:rPr>
          <w:rFonts w:hint="eastAsia" w:eastAsia="宋体"/>
          <w:i/>
          <w:szCs w:val="24"/>
        </w:rPr>
        <w:t>R</w:t>
      </w:r>
      <w:r>
        <w:rPr>
          <w:rFonts w:hint="eastAsia" w:eastAsia="宋体"/>
          <w:szCs w:val="24"/>
        </w:rPr>
        <w:t>——分裂导线半径，m；</w:t>
      </w:r>
    </w:p>
    <w:p w14:paraId="2B3B27D6">
      <w:pPr>
        <w:pStyle w:val="43"/>
        <w:spacing w:line="360" w:lineRule="auto"/>
        <w:ind w:firstLine="1200" w:firstLineChars="500"/>
        <w:rPr>
          <w:rFonts w:eastAsia="宋体"/>
          <w:szCs w:val="24"/>
        </w:rPr>
      </w:pPr>
      <w:r>
        <w:rPr>
          <w:rFonts w:hint="eastAsia" w:eastAsia="宋体"/>
          <w:i/>
          <w:szCs w:val="24"/>
        </w:rPr>
        <w:t>n</w:t>
      </w:r>
      <w:r>
        <w:rPr>
          <w:rFonts w:hint="eastAsia" w:eastAsia="宋体"/>
          <w:szCs w:val="24"/>
        </w:rPr>
        <w:t>——次导线根数；</w:t>
      </w:r>
    </w:p>
    <w:p w14:paraId="0E645AA2">
      <w:pPr>
        <w:pStyle w:val="43"/>
        <w:spacing w:line="360" w:lineRule="auto"/>
        <w:ind w:firstLine="1200" w:firstLineChars="500"/>
        <w:rPr>
          <w:rFonts w:eastAsia="宋体"/>
          <w:szCs w:val="24"/>
        </w:rPr>
      </w:pPr>
      <w:r>
        <w:rPr>
          <w:rFonts w:hint="eastAsia" w:eastAsia="宋体"/>
          <w:i/>
          <w:szCs w:val="24"/>
        </w:rPr>
        <w:t>r</w:t>
      </w:r>
      <w:r>
        <w:rPr>
          <w:rFonts w:hint="eastAsia" w:eastAsia="宋体"/>
          <w:szCs w:val="24"/>
        </w:rPr>
        <w:t>——次导线半径，m。</w:t>
      </w:r>
    </w:p>
    <w:p w14:paraId="1217C9B2">
      <w:pPr>
        <w:autoSpaceDE w:val="0"/>
        <w:autoSpaceDN w:val="0"/>
        <w:adjustRightInd w:val="0"/>
        <w:spacing w:line="360" w:lineRule="auto"/>
        <w:ind w:firstLine="480"/>
        <w:rPr>
          <w:rFonts w:ascii="宋体" w:hAnsi="宋体" w:cs="宋体"/>
          <w:sz w:val="24"/>
          <w:lang w:val="zh-CN"/>
        </w:rPr>
      </w:pPr>
      <w:r>
        <w:rPr>
          <w:rFonts w:hint="eastAsia" w:ascii="宋体" w:hAnsi="宋体" w:cs="宋体"/>
          <w:sz w:val="24"/>
          <w:lang w:val="zh-CN"/>
        </w:rPr>
        <w:t>由[</w:t>
      </w:r>
      <w:r>
        <w:rPr>
          <w:sz w:val="24"/>
          <w:lang w:val="zh-CN"/>
        </w:rPr>
        <w:t>U</w:t>
      </w:r>
      <w:r>
        <w:rPr>
          <w:rFonts w:hint="eastAsia" w:ascii="宋体" w:hAnsi="宋体" w:cs="宋体"/>
          <w:sz w:val="24"/>
          <w:lang w:val="zh-CN"/>
        </w:rPr>
        <w:t>]矩阵和[</w:t>
      </w:r>
      <w:r>
        <w:rPr>
          <w:sz w:val="24"/>
          <w:lang w:val="zh-CN"/>
        </w:rPr>
        <w:t>λ</w:t>
      </w:r>
      <w:r>
        <w:rPr>
          <w:rFonts w:hint="eastAsia" w:ascii="宋体" w:hAnsi="宋体" w:cs="宋体"/>
          <w:sz w:val="24"/>
          <w:lang w:val="zh-CN"/>
        </w:rPr>
        <w:t>]矩阵，利用等效电荷矩阵方程即可解出[</w:t>
      </w:r>
      <w:r>
        <w:rPr>
          <w:rFonts w:hint="eastAsia"/>
          <w:sz w:val="24"/>
          <w:lang w:val="zh-CN"/>
        </w:rPr>
        <w:t>Q</w:t>
      </w:r>
      <w:r>
        <w:rPr>
          <w:rFonts w:hint="eastAsia" w:ascii="宋体" w:hAnsi="宋体" w:cs="宋体"/>
          <w:sz w:val="24"/>
          <w:lang w:val="zh-CN"/>
        </w:rPr>
        <w:t>]矩阵。空间任意一点的电场强度可根据叠加原理计算得出，在(</w:t>
      </w:r>
      <w:r>
        <w:rPr>
          <w:rFonts w:hint="eastAsia"/>
          <w:sz w:val="24"/>
          <w:lang w:val="zh-CN"/>
        </w:rPr>
        <w:t>x，y</w:t>
      </w:r>
      <w:r>
        <w:rPr>
          <w:rFonts w:hint="eastAsia" w:ascii="宋体" w:hAnsi="宋体" w:cs="宋体"/>
          <w:sz w:val="24"/>
          <w:lang w:val="zh-CN"/>
        </w:rPr>
        <w:t>)点的电场强度分量</w:t>
      </w:r>
      <w:r>
        <w:rPr>
          <w:i/>
          <w:sz w:val="24"/>
          <w:lang w:val="zh-CN"/>
        </w:rPr>
        <w:t>Ex</w:t>
      </w:r>
      <w:r>
        <w:rPr>
          <w:rFonts w:hint="eastAsia" w:ascii="宋体" w:hAnsi="宋体" w:cs="宋体"/>
          <w:sz w:val="24"/>
          <w:lang w:val="zh-CN"/>
        </w:rPr>
        <w:t>和</w:t>
      </w:r>
      <w:r>
        <w:rPr>
          <w:i/>
          <w:sz w:val="24"/>
          <w:lang w:val="zh-CN"/>
        </w:rPr>
        <w:t>Ey</w:t>
      </w:r>
      <w:r>
        <w:rPr>
          <w:rFonts w:hint="eastAsia" w:ascii="宋体" w:hAnsi="宋体" w:cs="宋体"/>
          <w:sz w:val="24"/>
          <w:lang w:val="zh-CN"/>
        </w:rPr>
        <w:t>可表示为：</w:t>
      </w:r>
    </w:p>
    <w:p w14:paraId="4C1C5FA6">
      <w:pPr>
        <w:pStyle w:val="42"/>
        <w:ind w:firstLine="0" w:firstLineChars="0"/>
        <w:jc w:val="center"/>
        <w:rPr>
          <w:rFonts w:eastAsia="宋体"/>
          <w:szCs w:val="24"/>
        </w:rPr>
      </w:pPr>
      <w:r>
        <w:rPr>
          <w:rFonts w:hint="eastAsia" w:eastAsia="宋体"/>
          <w:szCs w:val="24"/>
        </w:rPr>
        <w:drawing>
          <wp:inline distT="0" distB="0" distL="114300" distR="114300">
            <wp:extent cx="1917700" cy="1751330"/>
            <wp:effectExtent l="0" t="0" r="6350" b="1270"/>
            <wp:docPr id="3"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001"/>
                    <pic:cNvPicPr>
                      <a:picLocks noChangeAspect="1"/>
                    </pic:cNvPicPr>
                  </pic:nvPicPr>
                  <pic:blipFill>
                    <a:blip r:embed="rId39" cstate="print"/>
                    <a:stretch>
                      <a:fillRect/>
                    </a:stretch>
                  </pic:blipFill>
                  <pic:spPr>
                    <a:xfrm>
                      <a:off x="0" y="0"/>
                      <a:ext cx="1917700" cy="1751330"/>
                    </a:xfrm>
                    <a:prstGeom prst="rect">
                      <a:avLst/>
                    </a:prstGeom>
                    <a:noFill/>
                    <a:ln>
                      <a:noFill/>
                    </a:ln>
                  </pic:spPr>
                </pic:pic>
              </a:graphicData>
            </a:graphic>
          </wp:inline>
        </w:drawing>
      </w:r>
      <w:r>
        <w:rPr>
          <w:rFonts w:hint="eastAsia" w:eastAsia="宋体"/>
          <w:szCs w:val="24"/>
        </w:rPr>
        <w:t xml:space="preserve">            </w:t>
      </w:r>
      <w:r>
        <w:rPr>
          <w:rFonts w:hint="eastAsia" w:eastAsia="宋体"/>
          <w:szCs w:val="24"/>
        </w:rPr>
        <w:drawing>
          <wp:inline distT="0" distB="0" distL="114300" distR="114300">
            <wp:extent cx="1776730" cy="1610360"/>
            <wp:effectExtent l="0" t="0" r="13970" b="8890"/>
            <wp:docPr id="14" name="图片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02"/>
                    <pic:cNvPicPr>
                      <a:picLocks noChangeAspect="1"/>
                    </pic:cNvPicPr>
                  </pic:nvPicPr>
                  <pic:blipFill>
                    <a:blip r:embed="rId40" cstate="print"/>
                    <a:stretch>
                      <a:fillRect/>
                    </a:stretch>
                  </pic:blipFill>
                  <pic:spPr>
                    <a:xfrm>
                      <a:off x="0" y="0"/>
                      <a:ext cx="1776730" cy="1610360"/>
                    </a:xfrm>
                    <a:prstGeom prst="rect">
                      <a:avLst/>
                    </a:prstGeom>
                    <a:noFill/>
                    <a:ln>
                      <a:noFill/>
                    </a:ln>
                  </pic:spPr>
                </pic:pic>
              </a:graphicData>
            </a:graphic>
          </wp:inline>
        </w:drawing>
      </w:r>
    </w:p>
    <w:p w14:paraId="4C717D99">
      <w:pPr>
        <w:pStyle w:val="42"/>
        <w:spacing w:beforeLines="50"/>
        <w:ind w:firstLine="0" w:firstLineChars="0"/>
        <w:jc w:val="center"/>
        <w:rPr>
          <w:rFonts w:eastAsia="宋体"/>
          <w:b/>
          <w:sz w:val="21"/>
          <w:szCs w:val="21"/>
        </w:rPr>
      </w:pPr>
      <w:r>
        <w:rPr>
          <w:rFonts w:hint="eastAsia" w:eastAsia="宋体"/>
          <w:b/>
          <w:sz w:val="21"/>
          <w:szCs w:val="21"/>
        </w:rPr>
        <w:t>图</w:t>
      </w:r>
      <w:r>
        <w:rPr>
          <w:rFonts w:ascii="Times New Roman" w:hAnsi="Times New Roman" w:eastAsia="宋体" w:cs="Times New Roman"/>
          <w:b/>
          <w:sz w:val="21"/>
          <w:szCs w:val="21"/>
        </w:rPr>
        <w:t>3.1-2</w:t>
      </w:r>
      <w:r>
        <w:rPr>
          <w:rFonts w:hint="eastAsia" w:eastAsia="宋体"/>
          <w:b/>
          <w:sz w:val="21"/>
          <w:szCs w:val="21"/>
        </w:rPr>
        <w:t xml:space="preserve">  电位系数计算图            图</w:t>
      </w:r>
      <w:r>
        <w:rPr>
          <w:rFonts w:ascii="Times New Roman" w:hAnsi="Times New Roman" w:eastAsia="宋体" w:cs="Times New Roman"/>
          <w:b/>
          <w:sz w:val="21"/>
          <w:szCs w:val="21"/>
        </w:rPr>
        <w:t>3.1-3</w:t>
      </w:r>
      <w:r>
        <w:rPr>
          <w:rFonts w:hint="eastAsia" w:eastAsia="宋体"/>
          <w:b/>
          <w:sz w:val="21"/>
          <w:szCs w:val="21"/>
        </w:rPr>
        <w:t xml:space="preserve">  等效半径计算图</w:t>
      </w:r>
    </w:p>
    <w:p w14:paraId="31003CA9">
      <w:pPr>
        <w:pStyle w:val="42"/>
        <w:rPr>
          <w:rFonts w:eastAsia="宋体"/>
          <w:szCs w:val="24"/>
        </w:rPr>
      </w:pPr>
    </w:p>
    <w:p w14:paraId="031FACCD">
      <w:pPr>
        <w:pStyle w:val="39"/>
        <w:ind w:firstLine="2916" w:firstLineChars="1215"/>
        <w:rPr>
          <w:rFonts w:hAnsi="宋体" w:eastAsia="宋体"/>
        </w:rPr>
      </w:pPr>
      <w:r>
        <w:rPr>
          <w:rFonts w:hint="eastAsia" w:hAnsi="宋体" w:eastAsia="宋体"/>
          <w:position w:val="-38"/>
        </w:rPr>
        <w:object>
          <v:shape id="_x0000_i1034" o:spt="75" type="#_x0000_t75" style="height:42pt;width:162.75pt;" o:ole="t" filled="f" o:preferrelative="t" stroked="f" coordsize="21600,21600">
            <v:path/>
            <v:fill on="f" focussize="0,0"/>
            <v:stroke on="f" joinstyle="miter"/>
            <v:imagedata r:id="rId42" o:title=""/>
            <o:lock v:ext="edit" aspectratio="t"/>
            <w10:wrap type="none"/>
            <w10:anchorlock/>
          </v:shape>
          <o:OLEObject Type="Embed" ProgID="Equations" ShapeID="_x0000_i1034" DrawAspect="Content" ObjectID="_1468075734" r:id="rId41">
            <o:LockedField>false</o:LockedField>
          </o:OLEObject>
        </w:object>
      </w:r>
      <w:r>
        <w:rPr>
          <w:rFonts w:hint="eastAsia" w:hAnsi="宋体" w:eastAsia="宋体"/>
        </w:rPr>
        <w:t xml:space="preserve">  </w:t>
      </w:r>
    </w:p>
    <w:p w14:paraId="359F51C8">
      <w:pPr>
        <w:pStyle w:val="39"/>
        <w:ind w:firstLine="2916" w:firstLineChars="1215"/>
        <w:rPr>
          <w:rFonts w:hAnsi="宋体" w:eastAsia="宋体"/>
        </w:rPr>
      </w:pPr>
    </w:p>
    <w:p w14:paraId="63AE8522">
      <w:pPr>
        <w:pStyle w:val="39"/>
        <w:ind w:firstLine="2916" w:firstLineChars="1215"/>
        <w:rPr>
          <w:rFonts w:hAnsi="宋体" w:eastAsia="宋体"/>
        </w:rPr>
      </w:pPr>
      <w:r>
        <w:rPr>
          <w:rFonts w:hint="eastAsia" w:hAnsi="宋体" w:eastAsia="宋体"/>
          <w:position w:val="-30"/>
        </w:rPr>
        <w:object>
          <v:shape id="_x0000_i1035" o:spt="75" type="#_x0000_t75" style="height:37.5pt;width:169.5pt;" o:ole="t" filled="f" o:preferrelative="t" stroked="f" coordsize="21600,21600">
            <v:path/>
            <v:fill on="f" focussize="0,0"/>
            <v:stroke on="f" joinstyle="miter"/>
            <v:imagedata r:id="rId44" o:title=""/>
            <o:lock v:ext="edit" aspectratio="t"/>
            <w10:wrap type="none"/>
            <w10:anchorlock/>
          </v:shape>
          <o:OLEObject Type="Embed" ProgID="Equations" ShapeID="_x0000_i1035" DrawAspect="Content" ObjectID="_1468075735" r:id="rId43">
            <o:LockedField>false</o:LockedField>
          </o:OLEObject>
        </w:object>
      </w:r>
    </w:p>
    <w:p w14:paraId="0C673486">
      <w:pPr>
        <w:autoSpaceDE w:val="0"/>
        <w:autoSpaceDN w:val="0"/>
        <w:adjustRightInd w:val="0"/>
        <w:spacing w:line="480" w:lineRule="exact"/>
        <w:ind w:firstLine="480"/>
        <w:rPr>
          <w:rFonts w:ascii="宋体" w:hAnsi="宋体" w:cs="宋体"/>
          <w:sz w:val="24"/>
          <w:lang w:val="zh-CN"/>
        </w:rPr>
      </w:pPr>
      <w:r>
        <w:rPr>
          <w:rFonts w:hint="eastAsia" w:ascii="宋体" w:hAnsi="宋体" w:cs="宋体"/>
          <w:sz w:val="24"/>
        </w:rPr>
        <w:t>式中</w:t>
      </w:r>
      <w:r>
        <w:rPr>
          <w:rFonts w:hint="eastAsia" w:ascii="宋体" w:hAnsi="宋体" w:cs="宋体"/>
          <w:sz w:val="24"/>
          <w:lang w:val="zh-CN"/>
        </w:rPr>
        <w:t>：</w:t>
      </w:r>
      <w:r>
        <w:rPr>
          <w:i/>
          <w:sz w:val="24"/>
          <w:lang w:val="zh-CN"/>
        </w:rPr>
        <w:t>x</w:t>
      </w:r>
      <w:r>
        <w:rPr>
          <w:i/>
          <w:sz w:val="24"/>
          <w:vertAlign w:val="subscript"/>
          <w:lang w:val="zh-CN"/>
        </w:rPr>
        <w:t>i</w:t>
      </w:r>
      <w:r>
        <w:rPr>
          <w:rFonts w:hint="eastAsia" w:ascii="宋体" w:hAnsi="宋体" w:cs="宋体"/>
          <w:sz w:val="24"/>
          <w:lang w:val="zh-CN"/>
        </w:rPr>
        <w:t>，</w:t>
      </w:r>
      <w:r>
        <w:rPr>
          <w:rFonts w:hint="eastAsia" w:ascii="宋体" w:hAnsi="宋体" w:cs="宋体"/>
          <w:i/>
          <w:sz w:val="24"/>
          <w:lang w:val="zh-CN"/>
        </w:rPr>
        <w:t xml:space="preserve"> </w:t>
      </w:r>
      <w:r>
        <w:rPr>
          <w:i/>
          <w:sz w:val="24"/>
          <w:lang w:val="zh-CN"/>
        </w:rPr>
        <w:t>y</w:t>
      </w:r>
      <w:r>
        <w:rPr>
          <w:i/>
          <w:sz w:val="24"/>
          <w:vertAlign w:val="subscript"/>
          <w:lang w:val="zh-CN"/>
        </w:rPr>
        <w:t>i</w:t>
      </w:r>
      <w:r>
        <w:rPr>
          <w:rFonts w:hint="eastAsia" w:ascii="宋体" w:hAnsi="宋体" w:cs="宋体"/>
          <w:sz w:val="24"/>
          <w:vertAlign w:val="subscript"/>
          <w:lang w:val="zh-CN"/>
        </w:rPr>
        <w:t xml:space="preserve"> </w:t>
      </w:r>
      <w:r>
        <w:rPr>
          <w:rFonts w:hint="eastAsia" w:ascii="宋体" w:hAnsi="宋体" w:cs="宋体"/>
          <w:sz w:val="24"/>
          <w:lang w:val="zh-CN"/>
        </w:rPr>
        <w:t>——导线</w:t>
      </w:r>
      <w:r>
        <w:rPr>
          <w:sz w:val="24"/>
          <w:lang w:val="zh-CN"/>
        </w:rPr>
        <w:t>i</w:t>
      </w:r>
      <w:r>
        <w:rPr>
          <w:rFonts w:hint="eastAsia" w:ascii="宋体" w:hAnsi="宋体" w:cs="宋体"/>
          <w:sz w:val="24"/>
          <w:lang w:val="zh-CN"/>
        </w:rPr>
        <w:t>的坐标(</w:t>
      </w:r>
      <w:r>
        <w:rPr>
          <w:sz w:val="24"/>
          <w:lang w:val="zh-CN"/>
        </w:rPr>
        <w:t>i=1</w:t>
      </w:r>
      <w:r>
        <w:rPr>
          <w:rFonts w:hAnsi="宋体"/>
          <w:sz w:val="24"/>
          <w:lang w:val="zh-CN"/>
        </w:rPr>
        <w:t>、</w:t>
      </w:r>
      <w:r>
        <w:rPr>
          <w:sz w:val="24"/>
          <w:lang w:val="zh-CN"/>
        </w:rPr>
        <w:t>2</w:t>
      </w:r>
      <w:r>
        <w:rPr>
          <w:rFonts w:hAnsi="宋体"/>
          <w:sz w:val="24"/>
          <w:lang w:val="zh-CN"/>
        </w:rPr>
        <w:t>、</w:t>
      </w:r>
      <w:r>
        <w:rPr>
          <w:sz w:val="24"/>
          <w:lang w:val="zh-CN"/>
        </w:rPr>
        <w:t>…m</w:t>
      </w:r>
      <w:r>
        <w:rPr>
          <w:rFonts w:hint="eastAsia" w:ascii="宋体" w:hAnsi="宋体" w:cs="宋体"/>
          <w:sz w:val="24"/>
          <w:lang w:val="zh-CN"/>
        </w:rPr>
        <w:t>)；</w:t>
      </w:r>
    </w:p>
    <w:p w14:paraId="5603BE70">
      <w:pPr>
        <w:autoSpaceDE w:val="0"/>
        <w:autoSpaceDN w:val="0"/>
        <w:adjustRightInd w:val="0"/>
        <w:spacing w:line="480" w:lineRule="exact"/>
        <w:ind w:firstLine="1200" w:firstLineChars="500"/>
        <w:rPr>
          <w:rFonts w:ascii="宋体" w:hAnsi="宋体" w:cs="宋体"/>
          <w:sz w:val="24"/>
          <w:lang w:val="zh-CN"/>
        </w:rPr>
      </w:pPr>
      <w:r>
        <w:rPr>
          <w:i/>
          <w:sz w:val="24"/>
          <w:lang w:val="zh-CN"/>
        </w:rPr>
        <w:t>m</w:t>
      </w:r>
      <w:r>
        <w:rPr>
          <w:rFonts w:hint="eastAsia" w:ascii="宋体" w:hAnsi="宋体" w:cs="宋体"/>
          <w:i/>
          <w:sz w:val="24"/>
          <w:lang w:val="zh-CN"/>
        </w:rPr>
        <w:t xml:space="preserve"> </w:t>
      </w:r>
      <w:r>
        <w:rPr>
          <w:rFonts w:hint="eastAsia" w:ascii="宋体" w:hAnsi="宋体" w:cs="宋体"/>
          <w:sz w:val="24"/>
          <w:lang w:val="zh-CN"/>
        </w:rPr>
        <w:t>——导线数目；</w:t>
      </w:r>
    </w:p>
    <w:p w14:paraId="70B65140">
      <w:pPr>
        <w:autoSpaceDE w:val="0"/>
        <w:autoSpaceDN w:val="0"/>
        <w:adjustRightInd w:val="0"/>
        <w:spacing w:line="480" w:lineRule="exact"/>
        <w:ind w:firstLine="1200" w:firstLineChars="500"/>
        <w:rPr>
          <w:rFonts w:ascii="宋体" w:hAnsi="宋体" w:cs="宋体"/>
          <w:sz w:val="24"/>
          <w:lang w:val="zh-CN"/>
        </w:rPr>
      </w:pPr>
      <w:r>
        <w:rPr>
          <w:i/>
          <w:sz w:val="24"/>
          <w:lang w:val="zh-CN"/>
        </w:rPr>
        <w:t>L</w:t>
      </w:r>
      <w:r>
        <w:rPr>
          <w:i/>
          <w:sz w:val="24"/>
          <w:vertAlign w:val="subscript"/>
          <w:lang w:val="zh-CN"/>
        </w:rPr>
        <w:t>i</w:t>
      </w:r>
      <w:r>
        <w:rPr>
          <w:rFonts w:hAnsi="宋体"/>
          <w:i/>
          <w:sz w:val="24"/>
          <w:lang w:val="zh-CN"/>
        </w:rPr>
        <w:t>，</w:t>
      </w:r>
      <w:r>
        <w:rPr>
          <w:i/>
          <w:sz w:val="24"/>
          <w:lang w:val="zh-CN"/>
        </w:rPr>
        <w:t>L</w:t>
      </w:r>
      <w:r>
        <w:rPr>
          <w:i/>
          <w:sz w:val="24"/>
          <w:vertAlign w:val="subscript"/>
          <w:lang w:val="zh-CN"/>
        </w:rPr>
        <w:t>'i</w:t>
      </w:r>
      <w:r>
        <w:rPr>
          <w:rFonts w:hint="eastAsia" w:ascii="宋体" w:hAnsi="宋体" w:cs="宋体"/>
          <w:i/>
          <w:sz w:val="24"/>
          <w:vertAlign w:val="subscript"/>
          <w:lang w:val="zh-CN"/>
        </w:rPr>
        <w:t xml:space="preserve"> </w:t>
      </w:r>
      <w:r>
        <w:rPr>
          <w:rFonts w:hint="eastAsia" w:ascii="宋体" w:hAnsi="宋体" w:cs="宋体"/>
          <w:sz w:val="24"/>
          <w:lang w:val="zh-CN"/>
        </w:rPr>
        <w:t>——分别为导线i及其镜像至计算点的距离，</w:t>
      </w:r>
      <w:r>
        <w:rPr>
          <w:sz w:val="24"/>
          <w:lang w:val="zh-CN"/>
        </w:rPr>
        <w:t>m</w:t>
      </w:r>
      <w:r>
        <w:rPr>
          <w:rFonts w:hint="eastAsia" w:ascii="宋体" w:hAnsi="宋体" w:cs="宋体"/>
          <w:sz w:val="24"/>
          <w:lang w:val="zh-CN"/>
        </w:rPr>
        <w:t>。</w:t>
      </w:r>
    </w:p>
    <w:p w14:paraId="5BD93B4D">
      <w:pPr>
        <w:autoSpaceDE w:val="0"/>
        <w:autoSpaceDN w:val="0"/>
        <w:adjustRightInd w:val="0"/>
        <w:spacing w:line="480" w:lineRule="exact"/>
        <w:ind w:firstLine="480"/>
        <w:rPr>
          <w:rFonts w:ascii="宋体" w:hAnsi="宋体" w:cs="宋体"/>
          <w:sz w:val="24"/>
          <w:lang w:val="zh-CN"/>
        </w:rPr>
      </w:pPr>
      <w:r>
        <w:rPr>
          <w:rFonts w:hint="eastAsia" w:ascii="宋体" w:hAnsi="宋体" w:cs="宋体"/>
          <w:sz w:val="24"/>
          <w:lang w:val="zh-CN"/>
        </w:rPr>
        <w:t>对于三相交流线路，可根据求得的电荷计算空间任一点电场强度的水平和垂直分量为：</w:t>
      </w:r>
    </w:p>
    <w:p w14:paraId="6F2980F6">
      <w:pPr>
        <w:pStyle w:val="41"/>
        <w:ind w:firstLine="2836" w:firstLineChars="1182"/>
        <w:rPr>
          <w:rFonts w:eastAsia="宋体" w:cs="宋体"/>
          <w:szCs w:val="24"/>
        </w:rPr>
      </w:pPr>
      <w:r>
        <w:rPr>
          <w:rFonts w:hint="eastAsia" w:eastAsia="宋体" w:cs="宋体"/>
          <w:position w:val="-28"/>
          <w:szCs w:val="24"/>
        </w:rPr>
        <w:object>
          <v:shape id="_x0000_i1036" o:spt="75" type="#_x0000_t75" style="height:34.5pt;width:114pt;" o:ole="t" filled="f" o:preferrelative="t" stroked="f" coordsize="21600,21600">
            <v:path/>
            <v:fill on="f" focussize="0,0"/>
            <v:stroke on="f" joinstyle="miter"/>
            <v:imagedata r:id="rId46" o:title=""/>
            <o:lock v:ext="edit" aspectratio="t"/>
            <w10:wrap type="none"/>
            <w10:anchorlock/>
          </v:shape>
          <o:OLEObject Type="Embed" ProgID="Equations" ShapeID="_x0000_i1036" DrawAspect="Content" ObjectID="_1468075736" r:id="rId45">
            <o:LockedField>false</o:LockedField>
          </o:OLEObject>
        </w:object>
      </w:r>
      <w:r>
        <w:rPr>
          <w:rFonts w:hint="eastAsia" w:eastAsia="宋体" w:cs="宋体"/>
          <w:szCs w:val="24"/>
        </w:rPr>
        <w:t xml:space="preserve"> = </w:t>
      </w:r>
      <w:r>
        <w:rPr>
          <w:rFonts w:hint="eastAsia" w:eastAsia="宋体" w:cs="宋体"/>
          <w:position w:val="-12"/>
          <w:szCs w:val="24"/>
        </w:rPr>
        <w:object>
          <v:shape id="_x0000_i1037" o:spt="75" type="#_x0000_t75" style="height:18pt;width:51pt;" o:ole="t" filled="f" o:preferrelative="t" stroked="f" coordsize="21600,21600">
            <v:path/>
            <v:fill on="f" focussize="0,0"/>
            <v:stroke on="f" joinstyle="miter"/>
            <v:imagedata r:id="rId48" o:title=""/>
            <o:lock v:ext="edit" aspectratio="t"/>
            <w10:wrap type="none"/>
            <w10:anchorlock/>
          </v:shape>
          <o:OLEObject Type="Embed" ProgID="Equations" ShapeID="_x0000_i1037" DrawAspect="Content" ObjectID="_1468075737" r:id="rId47">
            <o:LockedField>false</o:LockedField>
          </o:OLEObject>
        </w:object>
      </w:r>
      <w:r>
        <w:rPr>
          <w:rFonts w:hint="eastAsia" w:eastAsia="宋体" w:cs="宋体"/>
          <w:szCs w:val="24"/>
        </w:rPr>
        <w:t xml:space="preserve">    </w:t>
      </w:r>
    </w:p>
    <w:p w14:paraId="41CA8EDC">
      <w:pPr>
        <w:pStyle w:val="41"/>
        <w:ind w:firstLine="3312" w:firstLineChars="1380"/>
        <w:rPr>
          <w:rFonts w:eastAsia="宋体" w:cs="宋体"/>
          <w:szCs w:val="24"/>
        </w:rPr>
      </w:pPr>
      <w:r>
        <w:rPr>
          <w:rFonts w:hint="eastAsia" w:eastAsia="宋体" w:cs="宋体"/>
          <w:szCs w:val="24"/>
        </w:rPr>
        <w:t xml:space="preserve">         </w:t>
      </w:r>
    </w:p>
    <w:p w14:paraId="6B45A2F5">
      <w:pPr>
        <w:pStyle w:val="41"/>
        <w:ind w:firstLine="2836" w:firstLineChars="1182"/>
        <w:rPr>
          <w:rFonts w:eastAsia="宋体" w:cs="宋体"/>
          <w:szCs w:val="24"/>
        </w:rPr>
      </w:pPr>
      <w:r>
        <w:rPr>
          <w:rFonts w:hint="eastAsia" w:eastAsia="宋体" w:cs="宋体"/>
          <w:position w:val="-28"/>
          <w:szCs w:val="24"/>
        </w:rPr>
        <w:object>
          <v:shape id="_x0000_i1038" o:spt="75" type="#_x0000_t75" style="height:34.5pt;width:114pt;" o:ole="t" filled="f" o:preferrelative="t" stroked="f" coordsize="21600,21600">
            <v:path/>
            <v:fill on="f" focussize="0,0"/>
            <v:stroke on="f" joinstyle="miter"/>
            <v:imagedata r:id="rId50" o:title=""/>
            <o:lock v:ext="edit" aspectratio="t"/>
            <w10:wrap type="none"/>
            <w10:anchorlock/>
          </v:shape>
          <o:OLEObject Type="Embed" ProgID="Equations" ShapeID="_x0000_i1038" DrawAspect="Content" ObjectID="_1468075738" r:id="rId49">
            <o:LockedField>false</o:LockedField>
          </o:OLEObject>
        </w:object>
      </w:r>
      <w:r>
        <w:rPr>
          <w:rFonts w:hint="eastAsia" w:eastAsia="宋体" w:cs="宋体"/>
          <w:szCs w:val="24"/>
        </w:rPr>
        <w:t xml:space="preserve"> = </w:t>
      </w:r>
      <w:r>
        <w:rPr>
          <w:rFonts w:hint="eastAsia" w:eastAsia="宋体" w:cs="宋体"/>
          <w:position w:val="-14"/>
          <w:szCs w:val="24"/>
        </w:rPr>
        <w:object>
          <v:shape id="_x0000_i1039" o:spt="75" type="#_x0000_t75" style="height:19.5pt;width:52.5pt;" o:ole="t" filled="f" o:preferrelative="t" stroked="f" coordsize="21600,21600">
            <v:path/>
            <v:fill on="f" focussize="0,0"/>
            <v:stroke on="f" joinstyle="miter"/>
            <v:imagedata r:id="rId52" o:title=""/>
            <o:lock v:ext="edit" aspectratio="t"/>
            <w10:wrap type="none"/>
            <w10:anchorlock/>
          </v:shape>
          <o:OLEObject Type="Embed" ProgID="Equations" ShapeID="_x0000_i1039" DrawAspect="Content" ObjectID="_1468075739" r:id="rId51">
            <o:LockedField>false</o:LockedField>
          </o:OLEObject>
        </w:object>
      </w:r>
      <w:r>
        <w:rPr>
          <w:rFonts w:hint="eastAsia" w:eastAsia="宋体" w:cs="宋体"/>
          <w:szCs w:val="24"/>
        </w:rPr>
        <w:t xml:space="preserve">              </w:t>
      </w:r>
    </w:p>
    <w:p w14:paraId="3CBE8D30">
      <w:pPr>
        <w:pStyle w:val="41"/>
        <w:spacing w:beforeLines="50" w:line="360" w:lineRule="auto"/>
        <w:ind w:firstLine="480"/>
        <w:rPr>
          <w:rFonts w:eastAsia="宋体" w:cs="宋体"/>
          <w:szCs w:val="24"/>
        </w:rPr>
      </w:pPr>
      <w:r>
        <w:rPr>
          <w:rFonts w:hint="eastAsia" w:eastAsia="宋体" w:cs="宋体"/>
          <w:szCs w:val="24"/>
          <w:lang w:val="zh-CN"/>
        </w:rPr>
        <w:t>式中：</w:t>
      </w:r>
      <w:r>
        <w:rPr>
          <w:rFonts w:hint="eastAsia" w:eastAsia="宋体" w:cs="宋体"/>
          <w:position w:val="-12"/>
          <w:szCs w:val="24"/>
        </w:rPr>
        <w:object>
          <v:shape id="_x0000_i1040" o:spt="75" type="#_x0000_t75" style="height:18pt;width:19.5pt;" o:ole="t" filled="f" o:preferrelative="t" stroked="f" coordsize="21600,21600">
            <v:path/>
            <v:fill on="f" focussize="0,0"/>
            <v:stroke on="f" joinstyle="miter"/>
            <v:imagedata r:id="rId54" o:title=""/>
            <o:lock v:ext="edit" aspectratio="t"/>
            <w10:wrap type="none"/>
            <w10:anchorlock/>
          </v:shape>
          <o:OLEObject Type="Embed" ProgID="Equations" ShapeID="_x0000_i1040" DrawAspect="Content" ObjectID="_1468075740" r:id="rId53">
            <o:LockedField>false</o:LockedField>
          </o:OLEObject>
        </w:object>
      </w:r>
      <w:r>
        <w:rPr>
          <w:rFonts w:hint="eastAsia" w:eastAsia="宋体" w:cs="宋体"/>
          <w:szCs w:val="24"/>
          <w:vertAlign w:val="subscript"/>
        </w:rPr>
        <w:t>————</w:t>
      </w:r>
      <w:r>
        <w:rPr>
          <w:rFonts w:hint="eastAsia" w:eastAsia="宋体" w:cs="宋体"/>
          <w:szCs w:val="24"/>
          <w:lang w:val="zh-CN"/>
        </w:rPr>
        <w:t>由各导线的实部电荷在该点产生场强的水平分量；</w:t>
      </w:r>
    </w:p>
    <w:p w14:paraId="608A78C9">
      <w:pPr>
        <w:pStyle w:val="41"/>
        <w:spacing w:line="360" w:lineRule="auto"/>
        <w:ind w:firstLine="1178" w:firstLineChars="491"/>
        <w:rPr>
          <w:rFonts w:eastAsia="宋体" w:cs="宋体"/>
          <w:szCs w:val="24"/>
        </w:rPr>
      </w:pPr>
      <w:r>
        <w:rPr>
          <w:rFonts w:hint="eastAsia" w:eastAsia="宋体" w:cs="宋体"/>
          <w:position w:val="-12"/>
          <w:szCs w:val="24"/>
        </w:rPr>
        <w:object>
          <v:shape id="_x0000_i1041" o:spt="75" type="#_x0000_t75" style="height:18pt;width:19.5pt;" o:ole="t" filled="f" o:preferrelative="t" stroked="f" coordsize="21600,21600">
            <v:path/>
            <v:fill on="f" focussize="0,0"/>
            <v:stroke on="f" joinstyle="miter"/>
            <v:imagedata r:id="rId56" o:title=""/>
            <o:lock v:ext="edit" aspectratio="t"/>
            <w10:wrap type="none"/>
            <w10:anchorlock/>
          </v:shape>
          <o:OLEObject Type="Embed" ProgID="Equations" ShapeID="_x0000_i1041" DrawAspect="Content" ObjectID="_1468075741" r:id="rId55">
            <o:LockedField>false</o:LockedField>
          </o:OLEObject>
        </w:object>
      </w:r>
      <w:r>
        <w:rPr>
          <w:rFonts w:hint="eastAsia" w:eastAsia="宋体" w:cs="宋体"/>
          <w:szCs w:val="24"/>
          <w:vertAlign w:val="subscript"/>
        </w:rPr>
        <w:t>————</w:t>
      </w:r>
      <w:r>
        <w:rPr>
          <w:rFonts w:hint="eastAsia" w:eastAsia="宋体" w:cs="宋体"/>
          <w:szCs w:val="24"/>
          <w:lang w:val="zh-CN"/>
        </w:rPr>
        <w:t>由各导线的虚部电荷在该点产生场强的水平分量；</w:t>
      </w:r>
    </w:p>
    <w:p w14:paraId="5DA17FE6">
      <w:pPr>
        <w:pStyle w:val="41"/>
        <w:spacing w:line="360" w:lineRule="auto"/>
        <w:ind w:firstLine="1178" w:firstLineChars="491"/>
        <w:rPr>
          <w:rFonts w:eastAsia="宋体" w:cs="宋体"/>
          <w:szCs w:val="24"/>
        </w:rPr>
      </w:pPr>
      <w:r>
        <w:rPr>
          <w:rFonts w:hint="eastAsia" w:eastAsia="宋体" w:cs="宋体"/>
          <w:position w:val="-14"/>
          <w:szCs w:val="24"/>
        </w:rPr>
        <w:object>
          <v:shape id="_x0000_i1042" o:spt="75" type="#_x0000_t75" style="height:19.5pt;width:19.5pt;" o:ole="t" filled="f" o:preferrelative="t" stroked="f" coordsize="21600,21600">
            <v:path/>
            <v:fill on="f" focussize="0,0"/>
            <v:stroke on="f" joinstyle="miter"/>
            <v:imagedata r:id="rId58" o:title=""/>
            <o:lock v:ext="edit" aspectratio="t"/>
            <w10:wrap type="none"/>
            <w10:anchorlock/>
          </v:shape>
          <o:OLEObject Type="Embed" ProgID="Equations" ShapeID="_x0000_i1042" DrawAspect="Content" ObjectID="_1468075742" r:id="rId57">
            <o:LockedField>false</o:LockedField>
          </o:OLEObject>
        </w:object>
      </w:r>
      <w:r>
        <w:rPr>
          <w:rFonts w:hint="eastAsia" w:eastAsia="宋体" w:cs="宋体"/>
          <w:szCs w:val="24"/>
          <w:vertAlign w:val="subscript"/>
        </w:rPr>
        <w:t>————</w:t>
      </w:r>
      <w:r>
        <w:rPr>
          <w:rFonts w:hint="eastAsia" w:eastAsia="宋体" w:cs="宋体"/>
          <w:szCs w:val="24"/>
          <w:lang w:val="zh-CN"/>
        </w:rPr>
        <w:t>由各导线的实部电荷在该点产生场强的垂直分量；</w:t>
      </w:r>
    </w:p>
    <w:p w14:paraId="545E2EA3">
      <w:pPr>
        <w:pStyle w:val="41"/>
        <w:spacing w:line="360" w:lineRule="auto"/>
        <w:ind w:firstLine="1178" w:firstLineChars="491"/>
        <w:rPr>
          <w:rFonts w:eastAsia="宋体" w:cs="宋体"/>
          <w:szCs w:val="24"/>
        </w:rPr>
      </w:pPr>
      <w:r>
        <w:rPr>
          <w:rFonts w:hint="eastAsia" w:eastAsia="宋体" w:cs="宋体"/>
          <w:position w:val="-14"/>
          <w:szCs w:val="24"/>
        </w:rPr>
        <w:object>
          <v:shape id="_x0000_i1043" o:spt="75" type="#_x0000_t75" style="height:19.5pt;width:19.5pt;" o:ole="t" filled="f" o:preferrelative="t" stroked="f" coordsize="21600,21600">
            <v:path/>
            <v:fill on="f" focussize="0,0"/>
            <v:stroke on="f" joinstyle="miter"/>
            <v:imagedata r:id="rId60" o:title=""/>
            <o:lock v:ext="edit" aspectratio="t"/>
            <w10:wrap type="none"/>
            <w10:anchorlock/>
          </v:shape>
          <o:OLEObject Type="Embed" ProgID="Equations" ShapeID="_x0000_i1043" DrawAspect="Content" ObjectID="_1468075743" r:id="rId59">
            <o:LockedField>false</o:LockedField>
          </o:OLEObject>
        </w:object>
      </w:r>
      <w:r>
        <w:rPr>
          <w:rFonts w:hint="eastAsia" w:eastAsia="宋体" w:cs="宋体"/>
          <w:szCs w:val="24"/>
          <w:vertAlign w:val="subscript"/>
        </w:rPr>
        <w:t>————</w:t>
      </w:r>
      <w:r>
        <w:rPr>
          <w:rFonts w:hint="eastAsia" w:eastAsia="宋体" w:cs="宋体"/>
          <w:szCs w:val="24"/>
          <w:lang w:val="zh-CN"/>
        </w:rPr>
        <w:t>由各导线的虚部电荷在该点产生场强的垂直分量。</w:t>
      </w:r>
    </w:p>
    <w:p w14:paraId="02672C9B">
      <w:pPr>
        <w:pStyle w:val="41"/>
        <w:spacing w:line="360" w:lineRule="auto"/>
        <w:ind w:firstLine="698" w:firstLineChars="291"/>
        <w:rPr>
          <w:rFonts w:eastAsia="宋体" w:cs="宋体"/>
          <w:szCs w:val="24"/>
          <w:lang w:val="zh-CN"/>
        </w:rPr>
      </w:pPr>
      <w:r>
        <w:rPr>
          <w:rFonts w:hint="eastAsia" w:eastAsia="宋体" w:cs="宋体"/>
          <w:szCs w:val="24"/>
          <w:lang w:val="zh-CN"/>
        </w:rPr>
        <w:t>该点的合成的电场强度则为：</w:t>
      </w:r>
    </w:p>
    <w:p w14:paraId="590DCD7E">
      <w:pPr>
        <w:pStyle w:val="39"/>
        <w:ind w:firstLine="916" w:firstLineChars="382"/>
        <w:jc w:val="center"/>
        <w:rPr>
          <w:rStyle w:val="40"/>
        </w:rPr>
      </w:pPr>
      <w:r>
        <w:rPr>
          <w:rFonts w:hint="eastAsia"/>
          <w:position w:val="-12"/>
        </w:rPr>
        <w:object>
          <v:shape id="_x0000_i1044" o:spt="75" type="#_x0000_t75" style="height:22.5pt;width:91.5pt;" o:ole="t" filled="f" o:preferrelative="t" stroked="f" coordsize="21600,21600">
            <v:path/>
            <v:fill on="f" focussize="0,0"/>
            <v:stroke on="f" joinstyle="miter"/>
            <v:imagedata r:id="rId62" o:title=""/>
            <o:lock v:ext="edit" aspectratio="t"/>
            <w10:wrap type="none"/>
            <w10:anchorlock/>
          </v:shape>
          <o:OLEObject Type="Embed" ProgID="Equations" ShapeID="_x0000_i1044" DrawAspect="Content" ObjectID="_1468075744" r:id="rId61">
            <o:LockedField>false</o:LockedField>
          </o:OLEObject>
        </w:object>
      </w:r>
      <w:r>
        <w:rPr>
          <w:rStyle w:val="40"/>
          <w:rFonts w:hint="eastAsia" w:eastAsia="宋体"/>
        </w:rPr>
        <w:t xml:space="preserve"> + </w:t>
      </w:r>
      <w:r>
        <w:rPr>
          <w:rFonts w:hint="eastAsia"/>
          <w:position w:val="-14"/>
        </w:rPr>
        <w:object>
          <v:shape id="_x0000_i1045" o:spt="75" type="#_x0000_t75" style="height:22.5pt;width:67.5pt;" o:ole="t" filled="f" o:preferrelative="t" stroked="f" coordsize="21600,21600">
            <v:path/>
            <v:fill on="f" focussize="0,0"/>
            <v:stroke on="f" joinstyle="miter"/>
            <v:imagedata r:id="rId64" o:title=""/>
            <o:lock v:ext="edit" aspectratio="t"/>
            <w10:wrap type="none"/>
            <w10:anchorlock/>
          </v:shape>
          <o:OLEObject Type="Embed" ProgID="Equations" ShapeID="_x0000_i1045" DrawAspect="Content" ObjectID="_1468075745" r:id="rId63">
            <o:LockedField>false</o:LockedField>
          </o:OLEObject>
        </w:object>
      </w:r>
      <w:r>
        <w:rPr>
          <w:rFonts w:hint="eastAsia"/>
        </w:rPr>
        <w:t xml:space="preserve"> </w:t>
      </w:r>
      <w:r>
        <w:rPr>
          <w:rFonts w:hint="eastAsia"/>
          <w:position w:val="-14"/>
        </w:rPr>
        <w:object>
          <v:shape id="_x0000_i1046" o:spt="75" type="#_x0000_t75" style="height:22.5pt;width:49.5pt;" o:ole="t" filled="f" o:preferrelative="t" stroked="f" coordsize="21600,21600">
            <v:path/>
            <v:fill on="f" focussize="0,0"/>
            <v:stroke on="f" joinstyle="miter"/>
            <v:imagedata r:id="rId66" o:title=""/>
            <o:lock v:ext="edit" aspectratio="t"/>
            <w10:wrap type="none"/>
            <w10:anchorlock/>
          </v:shape>
          <o:OLEObject Type="Embed" ProgID="Equations" ShapeID="_x0000_i1046" DrawAspect="Content" ObjectID="_1468075746" r:id="rId65">
            <o:LockedField>false</o:LockedField>
          </o:OLEObject>
        </w:object>
      </w:r>
    </w:p>
    <w:p w14:paraId="09B88173">
      <w:pPr>
        <w:pStyle w:val="41"/>
        <w:ind w:firstLine="698" w:firstLineChars="291"/>
        <w:rPr>
          <w:rFonts w:eastAsia="宋体" w:cs="宋体"/>
          <w:szCs w:val="24"/>
          <w:lang w:val="zh-CN"/>
        </w:rPr>
      </w:pPr>
      <w:r>
        <w:rPr>
          <w:rFonts w:hint="eastAsia" w:eastAsia="宋体" w:cs="宋体"/>
          <w:szCs w:val="24"/>
          <w:lang w:val="zh-CN"/>
        </w:rPr>
        <w:t>式中：</w:t>
      </w:r>
    </w:p>
    <w:p w14:paraId="5E8E7101">
      <w:pPr>
        <w:pStyle w:val="39"/>
        <w:ind w:firstLine="189" w:firstLineChars="79"/>
        <w:jc w:val="center"/>
      </w:pPr>
      <w:r>
        <w:rPr>
          <w:rFonts w:hint="eastAsia"/>
          <w:position w:val="-14"/>
        </w:rPr>
        <w:object>
          <v:shape id="_x0000_i1047" o:spt="75" type="#_x0000_t75" style="height:22.5pt;width:82.5pt;" o:ole="t" filled="f" o:preferrelative="t" stroked="f" coordsize="21600,21600">
            <v:path/>
            <v:fill on="f" focussize="0,0"/>
            <v:stroke on="f" joinstyle="miter"/>
            <v:imagedata r:id="rId68" o:title=""/>
            <o:lock v:ext="edit" aspectratio="t"/>
            <w10:wrap type="none"/>
            <w10:anchorlock/>
          </v:shape>
          <o:OLEObject Type="Embed" ProgID="Equations" ShapeID="_x0000_i1047" DrawAspect="Content" ObjectID="_1468075747" r:id="rId67">
            <o:LockedField>false</o:LockedField>
          </o:OLEObject>
        </w:object>
      </w:r>
      <w:r>
        <w:rPr>
          <w:rFonts w:hint="eastAsia"/>
        </w:rPr>
        <w:t xml:space="preserve">    ，  </w:t>
      </w:r>
      <w:r>
        <w:rPr>
          <w:rFonts w:hint="eastAsia"/>
          <w:position w:val="-16"/>
        </w:rPr>
        <w:object>
          <v:shape id="_x0000_i1048" o:spt="75" type="#_x0000_t75" style="height:22.5pt;width:82.5pt;" o:ole="t" filled="f" o:preferrelative="t" stroked="f" coordsize="21600,21600">
            <v:path/>
            <v:fill on="f" focussize="0,0"/>
            <v:stroke on="f" joinstyle="miter"/>
            <v:imagedata r:id="rId70" o:title=""/>
            <o:lock v:ext="edit" aspectratio="t"/>
            <w10:wrap type="none"/>
            <w10:anchorlock/>
          </v:shape>
          <o:OLEObject Type="Embed" ProgID="Equations" ShapeID="_x0000_i1048" DrawAspect="Content" ObjectID="_1468075748" r:id="rId69">
            <o:LockedField>false</o:LockedField>
          </o:OLEObject>
        </w:object>
      </w:r>
    </w:p>
    <w:p w14:paraId="45BE0A71">
      <w:pPr>
        <w:autoSpaceDE w:val="0"/>
        <w:autoSpaceDN w:val="0"/>
        <w:adjustRightInd w:val="0"/>
        <w:spacing w:beforeLines="50" w:line="360" w:lineRule="auto"/>
        <w:ind w:firstLine="482"/>
        <w:rPr>
          <w:rFonts w:ascii="宋体" w:hAnsi="宋体" w:cs="宋体"/>
          <w:sz w:val="24"/>
          <w:lang w:val="zh-CN"/>
        </w:rPr>
      </w:pPr>
      <w:r>
        <w:rPr>
          <w:rFonts w:hint="eastAsia" w:ascii="宋体" w:hAnsi="宋体" w:cs="宋体"/>
          <w:kern w:val="0"/>
          <w:sz w:val="24"/>
        </w:rPr>
        <w:t>(2)工频磁感应强度预测</w:t>
      </w:r>
    </w:p>
    <w:p w14:paraId="63F670D6">
      <w:pPr>
        <w:autoSpaceDE w:val="0"/>
        <w:autoSpaceDN w:val="0"/>
        <w:adjustRightInd w:val="0"/>
        <w:spacing w:line="360" w:lineRule="auto"/>
        <w:ind w:firstLine="480"/>
        <w:rPr>
          <w:rFonts w:ascii="宋体" w:hAnsi="宋体" w:cs="宋体"/>
          <w:sz w:val="24"/>
          <w:lang w:val="zh-CN"/>
        </w:rPr>
      </w:pPr>
      <w:r>
        <w:rPr>
          <w:rFonts w:hint="eastAsia" w:ascii="宋体" w:hAnsi="宋体" w:cs="宋体"/>
          <w:sz w:val="24"/>
          <w:lang w:val="zh-CN"/>
        </w:rPr>
        <w:t>由于工频情况下电磁性能具有准静态特性，线路的磁场仅由电流产生。应用安培定律，将计算结果按矢量叠加，可得出导线周围的磁场强度。</w:t>
      </w:r>
    </w:p>
    <w:p w14:paraId="40A6FDCA">
      <w:pPr>
        <w:autoSpaceDE w:val="0"/>
        <w:autoSpaceDN w:val="0"/>
        <w:adjustRightInd w:val="0"/>
        <w:spacing w:line="360" w:lineRule="auto"/>
        <w:ind w:firstLine="480"/>
        <w:rPr>
          <w:rFonts w:ascii="宋体" w:hAnsi="宋体" w:cs="宋体"/>
          <w:sz w:val="24"/>
          <w:lang w:val="zh-CN"/>
        </w:rPr>
      </w:pPr>
      <w:r>
        <w:rPr>
          <w:rFonts w:hint="eastAsia" w:ascii="宋体" w:hAnsi="宋体" w:cs="宋体"/>
          <w:sz w:val="24"/>
          <w:lang w:val="zh-CN"/>
        </w:rPr>
        <w:t>和电场强度计算不同的是关于镜像导线的考虑，与导线所处高度相比这些镜像导线位于地下很深的距离</w:t>
      </w:r>
      <w:r>
        <w:rPr>
          <w:rFonts w:hint="eastAsia" w:ascii="宋体" w:hAnsi="宋体" w:cs="宋体"/>
          <w:i/>
          <w:sz w:val="24"/>
          <w:lang w:val="zh-CN"/>
        </w:rPr>
        <w:t>d</w:t>
      </w:r>
      <w:r>
        <w:rPr>
          <w:rFonts w:hint="eastAsia" w:ascii="宋体" w:hAnsi="宋体" w:cs="宋体"/>
          <w:sz w:val="24"/>
          <w:lang w:val="zh-CN"/>
        </w:rPr>
        <w:t>：</w:t>
      </w:r>
    </w:p>
    <w:p w14:paraId="702C49B7">
      <w:pPr>
        <w:pStyle w:val="41"/>
        <w:ind w:firstLine="2880" w:firstLineChars="1200"/>
        <w:rPr>
          <w:rFonts w:eastAsia="宋体" w:cs="宋体"/>
          <w:szCs w:val="24"/>
        </w:rPr>
      </w:pPr>
      <w:bookmarkStart w:id="25" w:name="_Toc141414704"/>
      <w:r>
        <w:rPr>
          <w:rFonts w:hint="eastAsia" w:eastAsia="宋体" w:cs="宋体"/>
          <w:position w:val="-30"/>
          <w:szCs w:val="24"/>
        </w:rPr>
        <w:object>
          <v:shape id="_x0000_i1049" o:spt="75" type="#_x0000_t75" style="height:37.5pt;width:60pt;" o:ole="t" filled="f" o:preferrelative="t" stroked="f" coordsize="21600,21600">
            <v:path/>
            <v:fill on="f" focussize="0,0"/>
            <v:stroke on="f" joinstyle="miter"/>
            <v:imagedata r:id="rId72" o:title=""/>
            <o:lock v:ext="edit" aspectratio="t"/>
            <w10:wrap type="none"/>
            <w10:anchorlock/>
          </v:shape>
          <o:OLEObject Type="Embed" ProgID="Equations" ShapeID="_x0000_i1049" DrawAspect="Content" ObjectID="_1468075749" r:id="rId71">
            <o:LockedField>false</o:LockedField>
          </o:OLEObject>
        </w:object>
      </w:r>
      <w:r>
        <w:rPr>
          <w:rFonts w:hint="eastAsia" w:eastAsia="宋体" w:cs="宋体"/>
          <w:szCs w:val="24"/>
        </w:rPr>
        <w:t xml:space="preserve"> (m)     </w:t>
      </w:r>
    </w:p>
    <w:p w14:paraId="786E2614">
      <w:pPr>
        <w:pStyle w:val="41"/>
        <w:ind w:firstLine="2880" w:firstLineChars="1200"/>
        <w:rPr>
          <w:rFonts w:eastAsia="宋体" w:cs="宋体"/>
          <w:szCs w:val="24"/>
        </w:rPr>
      </w:pPr>
      <w:r>
        <w:rPr>
          <w:rFonts w:hint="eastAsia" w:eastAsia="宋体" w:cs="宋体"/>
          <w:szCs w:val="24"/>
        </w:rPr>
        <w:t xml:space="preserve">      </w:t>
      </w:r>
      <w:bookmarkEnd w:id="25"/>
    </w:p>
    <w:p w14:paraId="23BCD0FB">
      <w:pPr>
        <w:pStyle w:val="41"/>
        <w:spacing w:line="360" w:lineRule="auto"/>
        <w:ind w:firstLine="480"/>
        <w:rPr>
          <w:rStyle w:val="40"/>
          <w:rFonts w:eastAsia="宋体" w:cs="宋体"/>
          <w:szCs w:val="24"/>
        </w:rPr>
      </w:pPr>
      <w:r>
        <w:rPr>
          <w:rFonts w:hint="eastAsia" w:eastAsia="宋体"/>
          <w:lang w:val="zh-CN"/>
        </w:rPr>
        <w:t>式中：</w:t>
      </w:r>
      <w:r>
        <w:rPr>
          <w:rFonts w:hint="eastAsia" w:eastAsia="宋体"/>
          <w:i/>
        </w:rPr>
        <w:t>ρ</w:t>
      </w:r>
      <w:r>
        <w:rPr>
          <w:rFonts w:hint="eastAsia" w:eastAsia="宋体"/>
        </w:rPr>
        <w:t>——</w:t>
      </w:r>
      <w:r>
        <w:rPr>
          <w:rFonts w:hint="eastAsia" w:eastAsia="宋体"/>
          <w:lang w:val="zh-CN"/>
        </w:rPr>
        <w:t>大地电阻率</w:t>
      </w:r>
      <w:r>
        <w:rPr>
          <w:rFonts w:hint="eastAsia" w:eastAsia="宋体"/>
        </w:rPr>
        <w:t>，</w:t>
      </w:r>
      <w:r>
        <w:rPr>
          <w:rFonts w:hint="eastAsia" w:eastAsia="宋体"/>
          <w:position w:val="-6"/>
        </w:rPr>
        <w:object>
          <v:shape id="_x0000_i1050" o:spt="75" type="#_x0000_t75" style="height:15pt;width:30pt;" o:ole="t" filled="f" o:preferrelative="t" stroked="f" coordsize="21600,21600">
            <v:path/>
            <v:fill on="f" focussize="0,0"/>
            <v:stroke on="f" joinstyle="miter"/>
            <v:imagedata r:id="rId74" o:title=""/>
            <o:lock v:ext="edit" aspectratio="t"/>
            <w10:wrap type="none"/>
            <w10:anchorlock/>
          </v:shape>
          <o:OLEObject Type="Embed" ProgID="Equations" ShapeID="_x0000_i1050" DrawAspect="Content" ObjectID="_1468075750" r:id="rId73">
            <o:LockedField>false</o:LockedField>
          </o:OLEObject>
        </w:object>
      </w:r>
      <w:r>
        <w:rPr>
          <w:rFonts w:hint="eastAsia" w:eastAsia="宋体" w:cs="宋体"/>
          <w:lang w:val="zh-CN"/>
        </w:rPr>
        <w:t>；</w:t>
      </w:r>
      <w:r>
        <w:rPr>
          <w:rFonts w:hint="eastAsia" w:eastAsia="宋体" w:cs="宋体"/>
          <w:i/>
          <w:lang w:val="zh-CN"/>
        </w:rPr>
        <w:t>f</w:t>
      </w:r>
      <w:r>
        <w:rPr>
          <w:rStyle w:val="40"/>
          <w:rFonts w:hint="eastAsia" w:eastAsia="宋体" w:cs="宋体"/>
          <w:szCs w:val="24"/>
        </w:rPr>
        <w:t>——</w:t>
      </w:r>
      <w:r>
        <w:rPr>
          <w:rFonts w:hint="eastAsia" w:eastAsia="宋体"/>
          <w:lang w:val="zh-CN"/>
        </w:rPr>
        <w:t>频率，</w:t>
      </w:r>
      <w:r>
        <w:rPr>
          <w:rStyle w:val="40"/>
          <w:rFonts w:hint="eastAsia" w:eastAsia="宋体" w:cs="宋体"/>
          <w:szCs w:val="24"/>
        </w:rPr>
        <w:t>Hz。</w:t>
      </w:r>
    </w:p>
    <w:p w14:paraId="368EA5A3">
      <w:pPr>
        <w:autoSpaceDE w:val="0"/>
        <w:autoSpaceDN w:val="0"/>
        <w:adjustRightInd w:val="0"/>
        <w:spacing w:line="360" w:lineRule="auto"/>
        <w:ind w:firstLine="480"/>
        <w:rPr>
          <w:rFonts w:ascii="宋体" w:hAnsi="宋体" w:cs="宋体"/>
          <w:sz w:val="24"/>
          <w:lang w:val="zh-CN"/>
        </w:rPr>
      </w:pPr>
      <w:r>
        <w:rPr>
          <w:rFonts w:hint="eastAsia" w:ascii="宋体" w:hAnsi="宋体" w:cs="宋体"/>
          <w:sz w:val="24"/>
          <w:lang w:val="zh-CN"/>
        </w:rPr>
        <w:t>在很多情况下，只考虑处于空间的实际导线，忽略它的镜像进行计算，其结果已足够符合实际。如图3.</w:t>
      </w:r>
      <w:r>
        <w:rPr>
          <w:rFonts w:hint="eastAsia" w:ascii="宋体" w:hAnsi="宋体" w:cs="宋体"/>
          <w:sz w:val="24"/>
        </w:rPr>
        <w:t>2</w:t>
      </w:r>
      <w:r>
        <w:rPr>
          <w:rFonts w:hint="eastAsia" w:ascii="宋体" w:hAnsi="宋体" w:cs="宋体"/>
          <w:sz w:val="24"/>
          <w:lang w:val="zh-CN"/>
        </w:rPr>
        <w:t>-4，考虑导线</w:t>
      </w:r>
      <w:r>
        <w:rPr>
          <w:rFonts w:hint="eastAsia" w:ascii="宋体" w:hAnsi="宋体" w:cs="宋体"/>
          <w:i/>
          <w:sz w:val="24"/>
          <w:lang w:val="zh-CN"/>
        </w:rPr>
        <w:t>i</w:t>
      </w:r>
      <w:r>
        <w:rPr>
          <w:rFonts w:hint="eastAsia" w:ascii="宋体" w:hAnsi="宋体" w:cs="宋体"/>
          <w:sz w:val="24"/>
          <w:lang w:val="zh-CN"/>
        </w:rPr>
        <w:t>的镜像时，可计算在A点其产生的磁场强度：</w:t>
      </w:r>
    </w:p>
    <w:p w14:paraId="594B0A1D">
      <w:pPr>
        <w:pStyle w:val="5"/>
        <w:ind w:right="-23" w:firstLine="2880" w:firstLineChars="1200"/>
        <w:rPr>
          <w:rFonts w:ascii="宋体" w:hAnsi="宋体" w:cs="宋体"/>
          <w:sz w:val="24"/>
        </w:rPr>
      </w:pPr>
      <w:r>
        <w:rPr>
          <w:rFonts w:hint="eastAsia" w:ascii="宋体" w:hAnsi="宋体" w:cs="宋体"/>
          <w:position w:val="-4"/>
          <w:sz w:val="24"/>
        </w:rPr>
        <w:object>
          <v:shape id="_x0000_i1051" o:spt="75" type="#_x0000_t75" style="height:12pt;width:12pt;" o:ole="t" filled="f" o:preferrelative="t" stroked="f" coordsize="21600,21600">
            <v:path/>
            <v:fill on="f" focussize="0,0"/>
            <v:stroke on="f" joinstyle="miter"/>
            <v:imagedata r:id="rId76" o:title=""/>
            <o:lock v:ext="edit" aspectratio="t"/>
            <w10:wrap type="none"/>
            <w10:anchorlock/>
          </v:shape>
          <o:OLEObject Type="Embed" ProgID="Equations" ShapeID="_x0000_i1051" DrawAspect="Content" ObjectID="_1468075751" r:id="rId75">
            <o:LockedField>false</o:LockedField>
          </o:OLEObject>
        </w:object>
      </w:r>
      <w:r>
        <w:rPr>
          <w:rFonts w:hint="eastAsia" w:ascii="宋体" w:hAnsi="宋体" w:cs="宋体"/>
          <w:sz w:val="24"/>
        </w:rPr>
        <w:t>＝</w:t>
      </w:r>
      <w:r>
        <w:rPr>
          <w:rFonts w:hint="eastAsia" w:ascii="宋体" w:hAnsi="宋体" w:cs="宋体"/>
          <w:position w:val="-30"/>
          <w:sz w:val="24"/>
        </w:rPr>
        <w:object>
          <v:shape id="_x0000_i1052" o:spt="75" type="#_x0000_t75" style="height:34.5pt;width:61.5pt;" o:ole="t" filled="f" o:preferrelative="t" stroked="f" coordsize="21600,21600">
            <v:path/>
            <v:fill on="f" focussize="0,0"/>
            <v:stroke on="f" joinstyle="miter"/>
            <v:imagedata r:id="rId78" o:title=""/>
            <o:lock v:ext="edit" aspectratio="t"/>
            <w10:wrap type="none"/>
            <w10:anchorlock/>
          </v:shape>
          <o:OLEObject Type="Embed" ProgID="Equations" ShapeID="_x0000_i1052" DrawAspect="Content" ObjectID="_1468075752" r:id="rId77">
            <o:LockedField>false</o:LockedField>
          </o:OLEObject>
        </w:object>
      </w:r>
      <w:r>
        <w:rPr>
          <w:rFonts w:hint="eastAsia" w:ascii="宋体" w:hAnsi="宋体" w:cs="宋体"/>
          <w:sz w:val="24"/>
        </w:rPr>
        <w:t xml:space="preserve"> (A/m)  </w:t>
      </w:r>
    </w:p>
    <w:p w14:paraId="6AFDE277">
      <w:pPr>
        <w:autoSpaceDE w:val="0"/>
        <w:autoSpaceDN w:val="0"/>
        <w:adjustRightInd w:val="0"/>
        <w:spacing w:line="480" w:lineRule="exact"/>
        <w:ind w:firstLine="480"/>
        <w:rPr>
          <w:rFonts w:ascii="宋体" w:hAnsi="宋体" w:cs="宋体"/>
          <w:sz w:val="24"/>
          <w:lang w:val="zh-CN"/>
        </w:rPr>
      </w:pPr>
      <w:r>
        <w:rPr>
          <w:rFonts w:hint="eastAsia" w:ascii="宋体" w:hAnsi="宋体" w:cs="宋体"/>
          <w:sz w:val="24"/>
          <w:lang w:val="zh-CN"/>
        </w:rPr>
        <w:t>式中：</w:t>
      </w:r>
      <w:r>
        <w:rPr>
          <w:i/>
          <w:sz w:val="24"/>
          <w:lang w:val="zh-CN"/>
        </w:rPr>
        <w:t>I</w:t>
      </w:r>
      <w:r>
        <w:rPr>
          <w:rFonts w:hint="eastAsia" w:ascii="宋体" w:hAnsi="宋体" w:cs="宋体"/>
          <w:sz w:val="24"/>
          <w:lang w:val="zh-CN"/>
        </w:rPr>
        <w:t>——导线i中的电流值，安；</w:t>
      </w:r>
    </w:p>
    <w:p w14:paraId="30A3B968">
      <w:pPr>
        <w:autoSpaceDE w:val="0"/>
        <w:autoSpaceDN w:val="0"/>
        <w:adjustRightInd w:val="0"/>
        <w:spacing w:line="480" w:lineRule="exact"/>
        <w:ind w:firstLine="1200" w:firstLineChars="500"/>
        <w:rPr>
          <w:rFonts w:ascii="宋体" w:hAnsi="宋体" w:cs="宋体"/>
          <w:sz w:val="24"/>
          <w:lang w:val="zh-CN"/>
        </w:rPr>
      </w:pPr>
      <w:r>
        <w:rPr>
          <w:i/>
          <w:sz w:val="24"/>
          <w:lang w:val="zh-CN"/>
        </w:rPr>
        <w:t>h</w:t>
      </w:r>
      <w:r>
        <w:rPr>
          <w:rFonts w:hint="eastAsia" w:ascii="宋体" w:hAnsi="宋体" w:cs="宋体"/>
          <w:sz w:val="24"/>
          <w:lang w:val="zh-CN"/>
        </w:rPr>
        <w:t>——导线与预测点的高差，</w:t>
      </w:r>
      <w:r>
        <w:rPr>
          <w:sz w:val="24"/>
          <w:lang w:val="zh-CN"/>
        </w:rPr>
        <w:t>m</w:t>
      </w:r>
      <w:r>
        <w:rPr>
          <w:rFonts w:hint="eastAsia" w:ascii="宋体" w:hAnsi="宋体" w:cs="宋体"/>
          <w:sz w:val="24"/>
          <w:lang w:val="zh-CN"/>
        </w:rPr>
        <w:t>；</w:t>
      </w:r>
    </w:p>
    <w:p w14:paraId="2E2BAC78">
      <w:pPr>
        <w:autoSpaceDE w:val="0"/>
        <w:autoSpaceDN w:val="0"/>
        <w:adjustRightInd w:val="0"/>
        <w:spacing w:line="480" w:lineRule="exact"/>
        <w:ind w:firstLine="1200" w:firstLineChars="500"/>
        <w:rPr>
          <w:rFonts w:ascii="宋体" w:hAnsi="宋体" w:cs="宋体"/>
          <w:sz w:val="24"/>
          <w:lang w:val="zh-CN"/>
        </w:rPr>
      </w:pPr>
      <w:r>
        <w:rPr>
          <w:i/>
          <w:sz w:val="24"/>
          <w:lang w:val="zh-CN"/>
        </w:rPr>
        <w:t>L</w:t>
      </w:r>
      <w:r>
        <w:rPr>
          <w:rFonts w:hint="eastAsia" w:ascii="宋体" w:hAnsi="宋体" w:cs="宋体"/>
          <w:sz w:val="24"/>
          <w:lang w:val="zh-CN"/>
        </w:rPr>
        <w:t xml:space="preserve"> ——导线与预测点水平距离，</w:t>
      </w:r>
      <w:r>
        <w:rPr>
          <w:sz w:val="24"/>
          <w:lang w:val="zh-CN"/>
        </w:rPr>
        <w:t>m</w:t>
      </w:r>
      <w:r>
        <w:rPr>
          <w:rFonts w:hint="eastAsia" w:ascii="宋体" w:hAnsi="宋体" w:cs="宋体"/>
          <w:sz w:val="24"/>
          <w:lang w:val="zh-CN"/>
        </w:rPr>
        <w:t>。</w:t>
      </w:r>
    </w:p>
    <w:p w14:paraId="2B45D9AA">
      <w:pPr>
        <w:autoSpaceDE w:val="0"/>
        <w:autoSpaceDN w:val="0"/>
        <w:adjustRightInd w:val="0"/>
        <w:spacing w:line="480" w:lineRule="exact"/>
        <w:ind w:firstLine="480"/>
        <w:rPr>
          <w:rFonts w:ascii="宋体" w:hAnsi="宋体" w:cs="宋体"/>
          <w:sz w:val="24"/>
          <w:lang w:val="zh-CN"/>
        </w:rPr>
      </w:pPr>
      <w:r>
        <w:rPr>
          <w:rFonts w:hint="eastAsia" w:ascii="宋体" w:hAnsi="宋体" w:cs="宋体"/>
          <w:sz w:val="24"/>
          <w:lang w:val="zh-CN"/>
        </w:rPr>
        <w:t>对于三相线路，由相位不同形成的磁场强度水平和垂直分量都应分别考虑电流间的相角，按相位矢量来合成。合成的旋转矢量在空间的轨迹是一个椭圆。</w:t>
      </w:r>
    </w:p>
    <w:p w14:paraId="2981E45A">
      <w:pPr>
        <w:pStyle w:val="5"/>
        <w:ind w:right="-23" w:firstLine="480"/>
        <w:jc w:val="center"/>
        <w:rPr>
          <w:rFonts w:ascii="宋体" w:hAnsi="宋体" w:cs="宋体"/>
          <w:sz w:val="24"/>
        </w:rPr>
      </w:pPr>
      <w:r>
        <w:rPr>
          <w:rFonts w:hint="eastAsia" w:ascii="宋体" w:hAnsi="宋体" w:cs="宋体"/>
          <w:sz w:val="24"/>
        </w:rPr>
        <w:drawing>
          <wp:inline distT="0" distB="0" distL="114300" distR="114300">
            <wp:extent cx="2533015" cy="1963420"/>
            <wp:effectExtent l="0" t="0" r="635" b="17780"/>
            <wp:docPr id="20" name="图片 3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descr="05"/>
                    <pic:cNvPicPr>
                      <a:picLocks noChangeAspect="1"/>
                    </pic:cNvPicPr>
                  </pic:nvPicPr>
                  <pic:blipFill>
                    <a:blip r:embed="rId79" cstate="print"/>
                    <a:stretch>
                      <a:fillRect/>
                    </a:stretch>
                  </pic:blipFill>
                  <pic:spPr>
                    <a:xfrm>
                      <a:off x="0" y="0"/>
                      <a:ext cx="2533015" cy="1963420"/>
                    </a:xfrm>
                    <a:prstGeom prst="rect">
                      <a:avLst/>
                    </a:prstGeom>
                    <a:noFill/>
                    <a:ln>
                      <a:noFill/>
                    </a:ln>
                  </pic:spPr>
                </pic:pic>
              </a:graphicData>
            </a:graphic>
          </wp:inline>
        </w:drawing>
      </w:r>
    </w:p>
    <w:p w14:paraId="532E8D46">
      <w:pPr>
        <w:spacing w:line="360" w:lineRule="auto"/>
        <w:jc w:val="center"/>
        <w:rPr>
          <w:rFonts w:ascii="宋体" w:hAnsi="宋体" w:cs="宋体"/>
          <w:b/>
          <w:color w:val="00B050"/>
        </w:rPr>
      </w:pPr>
      <w:bookmarkStart w:id="26" w:name="_Toc185260014"/>
      <w:r>
        <w:rPr>
          <w:rFonts w:hint="eastAsia" w:ascii="宋体" w:hAnsi="宋体" w:cs="宋体"/>
          <w:b/>
        </w:rPr>
        <w:t>图</w:t>
      </w:r>
      <w:r>
        <w:rPr>
          <w:b/>
        </w:rPr>
        <w:t xml:space="preserve">3.1-4 </w:t>
      </w:r>
      <w:r>
        <w:rPr>
          <w:rFonts w:hint="eastAsia" w:ascii="宋体" w:hAnsi="宋体" w:cs="宋体"/>
          <w:b/>
        </w:rPr>
        <w:t xml:space="preserve"> 磁场向量图</w:t>
      </w:r>
      <w:bookmarkEnd w:id="26"/>
    </w:p>
    <w:p w14:paraId="5451A599">
      <w:pPr>
        <w:spacing w:line="360" w:lineRule="auto"/>
        <w:outlineLvl w:val="2"/>
        <w:rPr>
          <w:rFonts w:ascii="宋体" w:hAnsi="宋体"/>
          <w:b/>
          <w:kern w:val="15"/>
          <w:sz w:val="24"/>
        </w:rPr>
      </w:pPr>
      <w:bookmarkStart w:id="27" w:name="_Toc38780087"/>
      <w:bookmarkStart w:id="28" w:name="_Toc19041"/>
      <w:bookmarkStart w:id="29" w:name="_Toc490170074"/>
      <w:bookmarkStart w:id="30" w:name="_Toc70009683"/>
      <w:r>
        <w:rPr>
          <w:b/>
          <w:kern w:val="15"/>
          <w:sz w:val="24"/>
        </w:rPr>
        <w:t>3.2.2</w:t>
      </w:r>
      <w:r>
        <w:rPr>
          <w:rFonts w:hint="eastAsia" w:ascii="宋体" w:hAnsi="宋体"/>
          <w:b/>
          <w:kern w:val="15"/>
          <w:sz w:val="24"/>
        </w:rPr>
        <w:t>计算所需参数</w:t>
      </w:r>
      <w:bookmarkEnd w:id="27"/>
      <w:bookmarkEnd w:id="28"/>
      <w:bookmarkEnd w:id="29"/>
      <w:bookmarkEnd w:id="30"/>
    </w:p>
    <w:p w14:paraId="3F8C8E06">
      <w:pPr>
        <w:spacing w:line="360" w:lineRule="auto"/>
        <w:ind w:firstLine="480" w:firstLineChars="200"/>
        <w:rPr>
          <w:rFonts w:ascii="宋体" w:hAnsi="宋体"/>
          <w:sz w:val="24"/>
        </w:rPr>
      </w:pPr>
      <w:r>
        <w:rPr>
          <w:rFonts w:hint="eastAsia" w:ascii="宋体" w:hAnsi="宋体"/>
          <w:sz w:val="24"/>
        </w:rPr>
        <w:t>建设项目输电线路除终端塔采用了双回路架设。本次环评综合比较各种塔型的参数，本次评价选择相间距最宽对环境不利塔型进行理论计算，对转角塔可忽略绝缘子地线和导线高度影响，典型塔型为：单回路塔型为</w:t>
      </w:r>
      <w:r>
        <w:rPr>
          <w:sz w:val="24"/>
        </w:rPr>
        <w:t>220-GD22D-DJ</w:t>
      </w:r>
      <w:r>
        <w:rPr>
          <w:rFonts w:hint="eastAsia" w:ascii="宋体" w:hAnsi="宋体"/>
          <w:sz w:val="24"/>
        </w:rPr>
        <w:t>塔型，双回路塔型为</w:t>
      </w:r>
      <w:r>
        <w:rPr>
          <w:rFonts w:hint="eastAsia"/>
          <w:sz w:val="24"/>
        </w:rPr>
        <w:t>220-GD22S-DJ</w:t>
      </w:r>
      <w:r>
        <w:rPr>
          <w:rFonts w:hint="eastAsia" w:ascii="宋体" w:hAnsi="宋体"/>
          <w:sz w:val="24"/>
        </w:rPr>
        <w:t>塔型，计算参数详见表</w:t>
      </w:r>
      <w:r>
        <w:rPr>
          <w:rFonts w:hint="eastAsia"/>
          <w:sz w:val="24"/>
        </w:rPr>
        <w:t>3.2-1</w:t>
      </w:r>
      <w:r>
        <w:rPr>
          <w:rFonts w:hint="eastAsia" w:ascii="宋体" w:hAnsi="宋体"/>
          <w:sz w:val="24"/>
        </w:rPr>
        <w:t>，</w:t>
      </w:r>
      <w:r>
        <w:rPr>
          <w:rFonts w:hint="eastAsia"/>
          <w:sz w:val="24"/>
        </w:rPr>
        <w:t>3.2-2</w:t>
      </w:r>
      <w:r>
        <w:rPr>
          <w:rFonts w:hint="eastAsia" w:ascii="宋体" w:hAnsi="宋体"/>
          <w:sz w:val="24"/>
        </w:rPr>
        <w:t>。</w:t>
      </w:r>
    </w:p>
    <w:p w14:paraId="6BE2C83C">
      <w:pPr>
        <w:jc w:val="center"/>
        <w:rPr>
          <w:rFonts w:ascii="宋体" w:hAnsi="宋体"/>
          <w:b/>
          <w:sz w:val="21"/>
          <w:szCs w:val="21"/>
        </w:rPr>
      </w:pPr>
      <w:r>
        <w:rPr>
          <w:rFonts w:hint="eastAsia" w:ascii="宋体" w:hAnsi="宋体"/>
          <w:b/>
          <w:sz w:val="21"/>
          <w:szCs w:val="21"/>
        </w:rPr>
        <w:t>表</w:t>
      </w:r>
      <w:r>
        <w:rPr>
          <w:b/>
          <w:sz w:val="21"/>
          <w:szCs w:val="21"/>
        </w:rPr>
        <w:t>3.2-1</w:t>
      </w:r>
      <w:r>
        <w:rPr>
          <w:rFonts w:hint="eastAsia" w:ascii="宋体" w:hAnsi="宋体"/>
          <w:b/>
          <w:sz w:val="21"/>
          <w:szCs w:val="21"/>
        </w:rPr>
        <w:t xml:space="preserve">    单回路线路段(</w:t>
      </w:r>
      <w:r>
        <w:rPr>
          <w:b/>
          <w:sz w:val="21"/>
          <w:szCs w:val="21"/>
        </w:rPr>
        <w:t>220-GD22D-DJ</w:t>
      </w:r>
      <w:r>
        <w:rPr>
          <w:rFonts w:hint="eastAsia" w:ascii="宋体" w:hAnsi="宋体"/>
          <w:b/>
          <w:sz w:val="21"/>
          <w:szCs w:val="21"/>
        </w:rPr>
        <w:t>)计算参数</w:t>
      </w:r>
    </w:p>
    <w:tbl>
      <w:tblPr>
        <w:tblStyle w:val="21"/>
        <w:tblW w:w="8925" w:type="dxa"/>
        <w:tblInd w:w="-34"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22"/>
        <w:gridCol w:w="2940"/>
        <w:gridCol w:w="481"/>
        <w:gridCol w:w="3682"/>
      </w:tblGrid>
      <w:tr w14:paraId="59DE0C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12" w:space="0"/>
              <w:left w:val="single" w:color="auto" w:sz="12" w:space="0"/>
              <w:bottom w:val="single" w:color="auto" w:sz="2" w:space="0"/>
              <w:right w:val="single" w:color="auto" w:sz="2" w:space="0"/>
            </w:tcBorders>
            <w:vAlign w:val="center"/>
          </w:tcPr>
          <w:p w14:paraId="5E9F65FB">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线路</w:t>
            </w:r>
          </w:p>
        </w:tc>
        <w:tc>
          <w:tcPr>
            <w:tcW w:w="2940" w:type="dxa"/>
            <w:tcBorders>
              <w:top w:val="single" w:color="auto" w:sz="12" w:space="0"/>
              <w:left w:val="single" w:color="auto" w:sz="2" w:space="0"/>
              <w:bottom w:val="single" w:color="auto" w:sz="2" w:space="0"/>
              <w:right w:val="single" w:color="auto" w:sz="2" w:space="0"/>
            </w:tcBorders>
            <w:vAlign w:val="center"/>
          </w:tcPr>
          <w:p w14:paraId="51A6973E">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kern w:val="0"/>
                <w:szCs w:val="21"/>
              </w:rPr>
              <w:t>220kV</w:t>
            </w:r>
            <w:r>
              <w:rPr>
                <w:rFonts w:hint="eastAsia" w:ascii="宋体" w:hAnsi="宋体"/>
                <w:kern w:val="0"/>
                <w:szCs w:val="21"/>
              </w:rPr>
              <w:t>单回线路</w:t>
            </w:r>
          </w:p>
        </w:tc>
        <w:tc>
          <w:tcPr>
            <w:tcW w:w="481" w:type="dxa"/>
            <w:vMerge w:val="restart"/>
            <w:tcBorders>
              <w:top w:val="single" w:color="auto" w:sz="12" w:space="0"/>
              <w:left w:val="single" w:color="auto" w:sz="2" w:space="0"/>
              <w:bottom w:val="single" w:color="auto" w:sz="2" w:space="0"/>
              <w:right w:val="single" w:color="auto" w:sz="2" w:space="0"/>
            </w:tcBorders>
            <w:vAlign w:val="center"/>
          </w:tcPr>
          <w:p w14:paraId="6F0FCBBD">
            <w:pPr>
              <w:keepNext w:val="0"/>
              <w:keepLines w:val="0"/>
              <w:widowControl/>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计算</w:t>
            </w:r>
          </w:p>
          <w:p w14:paraId="02C399F1">
            <w:pPr>
              <w:keepNext w:val="0"/>
              <w:keepLines w:val="0"/>
              <w:widowControl/>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原点</w:t>
            </w:r>
          </w:p>
        </w:tc>
        <w:tc>
          <w:tcPr>
            <w:tcW w:w="3682" w:type="dxa"/>
            <w:vMerge w:val="restart"/>
            <w:tcBorders>
              <w:top w:val="single" w:color="auto" w:sz="12" w:space="0"/>
              <w:left w:val="single" w:color="auto" w:sz="2" w:space="0"/>
              <w:bottom w:val="single" w:color="auto" w:sz="2" w:space="0"/>
              <w:right w:val="single" w:color="auto" w:sz="12" w:space="0"/>
            </w:tcBorders>
            <w:vAlign w:val="center"/>
          </w:tcPr>
          <w:p w14:paraId="49E23558">
            <w:pPr>
              <w:keepNext w:val="0"/>
              <w:keepLines w:val="0"/>
              <w:suppressLineNumbers w:val="0"/>
              <w:spacing w:before="0" w:beforeAutospacing="0" w:after="0" w:afterAutospacing="0" w:line="0" w:lineRule="atLeast"/>
              <w:ind w:left="0" w:right="0"/>
              <w:jc w:val="center"/>
              <w:rPr>
                <w:rFonts w:ascii="宋体" w:hAnsi="宋体"/>
                <w:szCs w:val="20"/>
              </w:rPr>
            </w:pPr>
            <w:r>
              <w:rPr>
                <w:rFonts w:hint="eastAsia" w:ascii="宋体" w:hAnsi="宋体"/>
              </w:rPr>
              <w:t>线路杆塔中心</w:t>
            </w:r>
          </w:p>
          <w:p w14:paraId="5ADBCFDB">
            <w:pPr>
              <w:keepNext w:val="0"/>
              <w:keepLines w:val="0"/>
              <w:suppressLineNumbers w:val="0"/>
              <w:spacing w:before="0" w:beforeAutospacing="0" w:after="0" w:afterAutospacing="0" w:line="0" w:lineRule="atLeast"/>
              <w:ind w:left="0" w:right="0"/>
              <w:jc w:val="center"/>
              <w:rPr>
                <w:rFonts w:ascii="宋体" w:hAnsi="宋体"/>
                <w:kern w:val="0"/>
              </w:rPr>
            </w:pPr>
            <w:r>
              <w:rPr>
                <w:rFonts w:hint="eastAsia" w:ascii="宋体" w:hAnsi="宋体"/>
              </w:rPr>
              <w:t>在地面投影的交点</w:t>
            </w:r>
          </w:p>
        </w:tc>
      </w:tr>
      <w:tr w14:paraId="3A0F25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11906D74">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采用塔型</w:t>
            </w:r>
          </w:p>
        </w:tc>
        <w:tc>
          <w:tcPr>
            <w:tcW w:w="2940" w:type="dxa"/>
            <w:tcBorders>
              <w:top w:val="single" w:color="auto" w:sz="2" w:space="0"/>
              <w:left w:val="single" w:color="auto" w:sz="2" w:space="0"/>
              <w:bottom w:val="single" w:color="auto" w:sz="2" w:space="0"/>
              <w:right w:val="single" w:color="auto" w:sz="2" w:space="0"/>
            </w:tcBorders>
            <w:vAlign w:val="center"/>
          </w:tcPr>
          <w:p w14:paraId="47C457FF">
            <w:pPr>
              <w:keepNext w:val="0"/>
              <w:keepLines w:val="0"/>
              <w:widowControl/>
              <w:suppressLineNumbers w:val="0"/>
              <w:spacing w:before="0" w:beforeAutospacing="0" w:after="0" w:afterAutospacing="0" w:line="0" w:lineRule="atLeast"/>
              <w:ind w:left="0" w:right="0"/>
              <w:jc w:val="center"/>
              <w:rPr>
                <w:rFonts w:ascii="宋体" w:hAnsi="宋体"/>
                <w:szCs w:val="21"/>
              </w:rPr>
            </w:pPr>
            <w:r>
              <w:rPr>
                <w:rFonts w:hint="eastAsia"/>
                <w:kern w:val="0"/>
                <w:szCs w:val="21"/>
              </w:rPr>
              <w:t>220-GD22D-DJ</w:t>
            </w:r>
          </w:p>
        </w:tc>
        <w:tc>
          <w:tcPr>
            <w:tcW w:w="481" w:type="dxa"/>
            <w:vMerge w:val="continue"/>
            <w:tcBorders>
              <w:top w:val="single" w:color="auto" w:sz="12" w:space="0"/>
              <w:left w:val="single" w:color="auto" w:sz="2" w:space="0"/>
              <w:bottom w:val="single" w:color="auto" w:sz="2" w:space="0"/>
              <w:right w:val="single" w:color="auto" w:sz="2" w:space="0"/>
            </w:tcBorders>
            <w:vAlign w:val="center"/>
          </w:tcPr>
          <w:p w14:paraId="5572993C">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12" w:space="0"/>
              <w:left w:val="single" w:color="auto" w:sz="2" w:space="0"/>
              <w:bottom w:val="single" w:color="auto" w:sz="2" w:space="0"/>
              <w:right w:val="single" w:color="auto" w:sz="12" w:space="0"/>
            </w:tcBorders>
            <w:vAlign w:val="center"/>
          </w:tcPr>
          <w:p w14:paraId="2E104914">
            <w:pPr>
              <w:keepNext w:val="0"/>
              <w:keepLines w:val="0"/>
              <w:widowControl/>
              <w:suppressLineNumbers w:val="0"/>
              <w:spacing w:before="0" w:beforeAutospacing="0" w:after="0" w:afterAutospacing="0"/>
              <w:ind w:left="0" w:right="0"/>
              <w:jc w:val="left"/>
              <w:rPr>
                <w:rFonts w:ascii="宋体" w:hAnsi="宋体"/>
                <w:kern w:val="0"/>
              </w:rPr>
            </w:pPr>
          </w:p>
        </w:tc>
      </w:tr>
      <w:tr w14:paraId="510EFB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52EE41E6">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相序排列方式</w:t>
            </w:r>
          </w:p>
        </w:tc>
        <w:tc>
          <w:tcPr>
            <w:tcW w:w="2940" w:type="dxa"/>
            <w:tcBorders>
              <w:top w:val="single" w:color="auto" w:sz="2" w:space="0"/>
              <w:left w:val="single" w:color="auto" w:sz="2" w:space="0"/>
              <w:bottom w:val="single" w:color="auto" w:sz="2" w:space="0"/>
              <w:right w:val="single" w:color="auto" w:sz="2" w:space="0"/>
            </w:tcBorders>
            <w:vAlign w:val="center"/>
          </w:tcPr>
          <w:p w14:paraId="4354F00A">
            <w:pPr>
              <w:keepNext w:val="0"/>
              <w:keepLines w:val="0"/>
              <w:widowControl/>
              <w:suppressLineNumbers w:val="0"/>
              <w:spacing w:before="0" w:beforeAutospacing="0" w:after="0" w:afterAutospacing="0" w:line="0" w:lineRule="atLeast"/>
              <w:ind w:left="0" w:right="0"/>
              <w:jc w:val="center"/>
              <w:rPr>
                <w:rFonts w:ascii="宋体" w:hAnsi="宋体"/>
                <w:szCs w:val="21"/>
              </w:rPr>
            </w:pPr>
            <w:r>
              <w:rPr>
                <w:rFonts w:hint="eastAsia" w:ascii="宋体" w:hAnsi="宋体"/>
                <w:szCs w:val="21"/>
              </w:rPr>
              <w:t>水平排列</w:t>
            </w:r>
          </w:p>
        </w:tc>
        <w:tc>
          <w:tcPr>
            <w:tcW w:w="481" w:type="dxa"/>
            <w:vMerge w:val="restart"/>
            <w:tcBorders>
              <w:top w:val="single" w:color="auto" w:sz="2" w:space="0"/>
              <w:left w:val="single" w:color="auto" w:sz="2" w:space="0"/>
              <w:bottom w:val="single" w:color="auto" w:sz="12" w:space="0"/>
              <w:right w:val="single" w:color="auto" w:sz="2" w:space="0"/>
            </w:tcBorders>
            <w:vAlign w:val="center"/>
          </w:tcPr>
          <w:p w14:paraId="00FC2684">
            <w:pPr>
              <w:keepNext w:val="0"/>
              <w:keepLines w:val="0"/>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相间距坐标</w:t>
            </w:r>
          </w:p>
        </w:tc>
        <w:tc>
          <w:tcPr>
            <w:tcW w:w="3682" w:type="dxa"/>
            <w:vMerge w:val="restart"/>
            <w:tcBorders>
              <w:top w:val="single" w:color="auto" w:sz="2" w:space="0"/>
              <w:left w:val="single" w:color="auto" w:sz="2" w:space="0"/>
              <w:bottom w:val="single" w:color="auto" w:sz="12" w:space="0"/>
              <w:right w:val="single" w:color="auto" w:sz="12" w:space="0"/>
            </w:tcBorders>
          </w:tcPr>
          <w:p w14:paraId="7CEDF1B8">
            <w:pPr>
              <w:keepNext w:val="0"/>
              <w:keepLines w:val="0"/>
              <w:suppressLineNumbers w:val="0"/>
              <w:spacing w:before="0" w:beforeAutospacing="0" w:after="0" w:afterAutospacing="0" w:line="0" w:lineRule="atLeast"/>
              <w:ind w:left="0" w:right="0"/>
              <w:jc w:val="center"/>
              <w:rPr>
                <w:rFonts w:ascii="宋体" w:hAnsi="宋体"/>
              </w:rPr>
            </w:pPr>
          </w:p>
          <w:p w14:paraId="606307DC">
            <w:pPr>
              <w:keepNext w:val="0"/>
              <w:keepLines w:val="0"/>
              <w:suppressLineNumbers w:val="0"/>
              <w:spacing w:before="0" w:beforeAutospacing="0" w:after="0" w:afterAutospacing="0" w:line="0" w:lineRule="atLeast"/>
              <w:ind w:left="0" w:right="0"/>
              <w:jc w:val="center"/>
              <w:rPr>
                <w:rFonts w:ascii="宋体" w:hAnsi="宋体"/>
              </w:rPr>
            </w:pPr>
            <w:r>
              <w:pict>
                <v:group id="_x0000_s2076" o:spid="_x0000_s2076" o:spt="203" style="position:absolute;left:0pt;margin-left:36.4pt;margin-top:181.45pt;height:34.4pt;width:136pt;z-index:251676672;mso-width-relative:page;mso-height-relative:page;" coordorigin="9245,1433393" coordsize="2720,688203203" o:gfxdata="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vonMw2wAAAAoBAAAPAAAAAAAAAAEAIAAAACIAAABkcnMv&#10;ZG93bnJldi54bWxQSwECFAAUAAAACACHTuJABELx4cgDAAC/DQAADgAAAAAAAAABACAAAAAqAQAA&#10;ZHJzL2Uyb0RvYy54bWxQSwUGAAAAAAYABgBZAQAAZAcAAAAA&#10;">
                  <o:lock v:ext="edit"/>
                  <v:shape id="椭圆 46" o:spid="_x0000_s2082" o:spt="3" type="#_x0000_t3" style="position:absolute;left:10480;top:1433631;height:113;width:100;" fillcolor="#000000" filled="t" coordsize="21600,21600" o:gfxdata="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rUZLsAAADb&#10;AAAADwAAAAAAAAABACAAAAAiAAAAZHJzL2Rvd25yZXYueG1sUEsBAhQAFAAAAAgAh07iQDMvBZ47&#10;AAAAOQAAABAAAAAAAAAAAQAgAAAACgEAAGRycy9zaGFwZXhtbC54bWxQSwUGAAAAAAYABgBbAQAA&#10;tAMAAAAA&#10;">
                    <v:path/>
                    <v:fill on="t" focussize="0,0"/>
                    <v:stroke/>
                    <v:imagedata o:title=""/>
                    <o:lock v:ext="edit"/>
                  </v:shape>
                  <v:group id="组合 50" o:spid="_x0000_s2077" o:spt="203" style="position:absolute;left:9245;top:1433393;height:688;width:2721;" coordorigin="9245,1433393" coordsize="2721,688"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v:shape id="_x0000_s2081" o:spid="_x0000_s2081" o:spt="202" type="#_x0000_t202" style="position:absolute;left:10210;top:1433745;height:336;width:1001;"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14:paraId="3E812701">
                            <w:pPr>
                              <w:snapToGrid w:val="0"/>
                              <w:rPr>
                                <w:sz w:val="16"/>
                              </w:rPr>
                            </w:pPr>
                            <w:r>
                              <w:rPr>
                                <w:sz w:val="16"/>
                              </w:rPr>
                              <w:t>(0</w:t>
                            </w:r>
                            <w:r>
                              <w:rPr>
                                <w:rFonts w:hint="eastAsia"/>
                                <w:sz w:val="16"/>
                              </w:rPr>
                              <w:t>，</w:t>
                            </w:r>
                            <w:r>
                              <w:rPr>
                                <w:sz w:val="16"/>
                              </w:rPr>
                              <w:t>0)</w:t>
                            </w:r>
                          </w:p>
                        </w:txbxContent>
                      </v:textbox>
                    </v:shape>
                    <v:shape id="直接箭头连接符 44" o:spid="_x0000_s2080" o:spt="32" type="#_x0000_t32" style="position:absolute;left:9245;top:1433681;flip:x;height:12;width:1120;" filled="f" coordsize="21600,21600" o:gfxdata="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Z6yugAAANsA&#10;AAAPAAAAAAAAAAEAIAAAACIAAABkcnMvZG93bnJldi54bWxQSwECFAAUAAAACACHTuJAMy8FnjsA&#10;AAA5AAAAEAAAAAAAAAABACAAAAAJAQAAZHJzL3NoYXBleG1sLnhtbFBLBQYAAAAABgAGAFsBAACz&#10;AwAAAAA=&#10;">
                      <v:path arrowok="t"/>
                      <v:fill on="f" focussize="0,0"/>
                      <v:stroke dashstyle="dash" endarrow="block"/>
                      <v:imagedata o:title=""/>
                      <o:lock v:ext="edit"/>
                    </v:shape>
                    <v:shape id="文本框 42" o:spid="_x0000_s2079" o:spt="202" type="#_x0000_t202" style="position:absolute;left:10753;top:1433393;height:374;width:939;"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path/>
                      <v:fill on="f" focussize="0,0"/>
                      <v:stroke on="f" joinstyle="miter"/>
                      <v:imagedata o:title=""/>
                      <o:lock v:ext="edit"/>
                      <v:textbox>
                        <w:txbxContent>
                          <w:p w14:paraId="02278236">
                            <w:pPr>
                              <w:snapToGrid w:val="0"/>
                              <w:rPr>
                                <w:sz w:val="16"/>
                              </w:rPr>
                            </w:pPr>
                            <w:r>
                              <w:rPr>
                                <w:rFonts w:hint="eastAsia"/>
                                <w:sz w:val="16"/>
                              </w:rPr>
                              <w:t>计算路径</w:t>
                            </w:r>
                          </w:p>
                        </w:txbxContent>
                      </v:textbox>
                    </v:shape>
                    <v:shape id="直接箭头连接符 43" o:spid="_x0000_s2078" o:spt="32" type="#_x0000_t32" style="position:absolute;left:10666;top:1433669;flip:y;height:15;width:1300;" filled="f" coordsize="21600,21600" o:gfxdata="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jq9bugAAANsA&#10;AAAPAAAAAAAAAAEAIAAAACIAAABkcnMvZG93bnJldi54bWxQSwECFAAUAAAACACHTuJAMy8FnjsA&#10;AAA5AAAAEAAAAAAAAAABACAAAAAJAQAAZHJzL3NoYXBleG1sLnhtbFBLBQYAAAAABgAGAFsBAACz&#10;AwAAAAA=&#10;">
                      <v:path arrowok="t"/>
                      <v:fill on="f" focussize="0,0"/>
                      <v:stroke dashstyle="dash" endarrow="block"/>
                      <v:imagedata o:title=""/>
                      <o:lock v:ext="edit"/>
                    </v:shape>
                  </v:group>
                </v:group>
              </w:pict>
            </w:r>
            <w:r>
              <w:rPr>
                <w:rFonts w:ascii="宋体" w:hAnsi="宋体"/>
              </w:rPr>
              <w:pict>
                <v:shape id="_x0000_s2075" o:spid="_x0000_s2075" o:spt="202" type="#_x0000_t202" style="position:absolute;left:0pt;margin-left:154.85pt;margin-top:117.55pt;height:17.2pt;width:18.6pt;z-index:251666432;mso-width-relative:page;mso-height-relative:page;" filled="f" stroked="f" coordsize="21600,21600" o:gfxdata="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xkAs2AAA&#10;AAsBAAAPAAAAAAAAAAEAIAAAACIAAABkcnMvZG93bnJldi54bWxQSwECFAAUAAAACACHTuJAtHr7&#10;LKwBAABPAwAADgAAAAAAAAABACAAAAAnAQAAZHJzL2Uyb0RvYy54bWxQSwUGAAAAAAYABgBZAQAA&#10;RQUAAAAA&#10;">
                  <v:path/>
                  <v:fill on="f" focussize="0,0"/>
                  <v:stroke on="f" joinstyle="miter"/>
                  <v:imagedata o:title=""/>
                  <o:lock v:ext="edit"/>
                  <v:textbox>
                    <w:txbxContent>
                      <w:p w14:paraId="1F937292">
                        <w:pPr>
                          <w:spacing w:line="240" w:lineRule="exact"/>
                          <w:rPr>
                            <w:rFonts w:ascii="宋体" w:hAnsi="宋体"/>
                            <w:b/>
                            <w:color w:val="FF0000"/>
                            <w:szCs w:val="21"/>
                          </w:rPr>
                        </w:pPr>
                        <w:r>
                          <w:rPr>
                            <w:rFonts w:hint="eastAsia" w:ascii="宋体" w:hAnsi="宋体"/>
                            <w:b/>
                            <w:color w:val="FF0000"/>
                            <w:szCs w:val="21"/>
                          </w:rPr>
                          <w:t>C</w:t>
                        </w:r>
                      </w:p>
                    </w:txbxContent>
                  </v:textbox>
                </v:shape>
              </w:pict>
            </w:r>
            <w:r>
              <w:rPr>
                <w:rFonts w:ascii="宋体" w:hAnsi="宋体"/>
              </w:rPr>
              <w:pict>
                <v:shape id="_x0000_s2074" o:spid="_x0000_s2074" o:spt="202" type="#_x0000_t202" style="position:absolute;left:0pt;margin-left:138.9pt;margin-top:51.85pt;height:25pt;width:18.6pt;z-index:251665408;mso-width-relative:page;mso-height-relative:page;" filled="f" stroked="f" coordsize="21600,21600" o:gfxdata="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W+B91wAA&#10;AAsBAAAPAAAAAAAAAAEAIAAAACIAAABkcnMvZG93bnJldi54bWxQSwECFAAUAAAACACHTuJAW24P&#10;tq0BAABPAwAADgAAAAAAAAABACAAAAAmAQAAZHJzL2Uyb0RvYy54bWxQSwUGAAAAAAYABgBZAQAA&#10;RQUAAAAA&#10;">
                  <v:path/>
                  <v:fill on="f" focussize="0,0"/>
                  <v:stroke on="f" joinstyle="miter"/>
                  <v:imagedata o:title=""/>
                  <o:lock v:ext="edit"/>
                  <v:textbox>
                    <w:txbxContent>
                      <w:p w14:paraId="61B77540">
                        <w:pPr>
                          <w:spacing w:line="240" w:lineRule="exact"/>
                          <w:rPr>
                            <w:rFonts w:ascii="宋体" w:hAnsi="宋体"/>
                            <w:b/>
                            <w:color w:val="FF0000"/>
                            <w:szCs w:val="21"/>
                          </w:rPr>
                        </w:pPr>
                        <w:r>
                          <w:rPr>
                            <w:rFonts w:hint="eastAsia" w:ascii="宋体" w:hAnsi="宋体"/>
                            <w:b/>
                            <w:color w:val="FF0000"/>
                            <w:szCs w:val="21"/>
                          </w:rPr>
                          <w:t>B</w:t>
                        </w:r>
                      </w:p>
                    </w:txbxContent>
                  </v:textbox>
                </v:shape>
              </w:pict>
            </w:r>
            <w:r>
              <w:rPr>
                <w:rFonts w:ascii="宋体" w:hAnsi="宋体"/>
              </w:rPr>
              <w:pict>
                <v:shape id="_x0000_s2073" o:spid="_x0000_s2073" o:spt="202" type="#_x0000_t202" style="position:absolute;left:0pt;flip:y;margin-left:19.05pt;margin-top:119.2pt;height:29.6pt;width:22.85pt;z-index:251667456;mso-width-relative:page;mso-height-relative:page;" filled="f" stroked="f" coordsize="21600,21600" o:gfxdata="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PXOefaAAAACQEAAA8AAAAAAAAAAQAgAAAAIgAAAGRycy9kb3ducmV2LnhtbFBLAQIUABQA&#10;AAAIAIdO4kCqmbqltQEAAFkDAAAOAAAAAAAAAAEAIAAAACkBAABkcnMvZTJvRG9jLnhtbFBLBQYA&#10;AAAABgAGAFkBAABQBQAAAAA=&#10;">
                  <v:path/>
                  <v:fill on="f" focussize="0,0"/>
                  <v:stroke on="f" joinstyle="miter"/>
                  <v:imagedata o:title=""/>
                  <o:lock v:ext="edit"/>
                  <v:textbox>
                    <w:txbxContent>
                      <w:p w14:paraId="722EDCF0">
                        <w:pPr>
                          <w:spacing w:line="240" w:lineRule="exact"/>
                          <w:rPr>
                            <w:rFonts w:ascii="宋体" w:hAnsi="宋体"/>
                            <w:b/>
                            <w:color w:val="FF0000"/>
                            <w:szCs w:val="21"/>
                          </w:rPr>
                        </w:pPr>
                        <w:r>
                          <w:rPr>
                            <w:rFonts w:hint="eastAsia" w:ascii="宋体" w:hAnsi="宋体"/>
                            <w:b/>
                            <w:color w:val="FF0000"/>
                            <w:szCs w:val="21"/>
                          </w:rPr>
                          <w:t>A</w:t>
                        </w:r>
                      </w:p>
                    </w:txbxContent>
                  </v:textbox>
                </v:shape>
              </w:pict>
            </w:r>
            <w:r>
              <w:rPr>
                <w:rFonts w:hint="eastAsia" w:ascii="宋体" w:hAnsi="宋体"/>
              </w:rPr>
              <w:drawing>
                <wp:inline distT="0" distB="0" distL="114300" distR="114300">
                  <wp:extent cx="2199640" cy="2303145"/>
                  <wp:effectExtent l="0" t="0" r="10160" b="1905"/>
                  <wp:docPr id="10" name="图片 10" descr="微信截图_202502212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50221233425"/>
                          <pic:cNvPicPr>
                            <a:picLocks noChangeAspect="1"/>
                          </pic:cNvPicPr>
                        </pic:nvPicPr>
                        <pic:blipFill>
                          <a:blip r:embed="rId80" cstate="print"/>
                          <a:stretch>
                            <a:fillRect/>
                          </a:stretch>
                        </pic:blipFill>
                        <pic:spPr>
                          <a:xfrm>
                            <a:off x="0" y="0"/>
                            <a:ext cx="2199640" cy="2303145"/>
                          </a:xfrm>
                          <a:prstGeom prst="rect">
                            <a:avLst/>
                          </a:prstGeom>
                        </pic:spPr>
                      </pic:pic>
                    </a:graphicData>
                  </a:graphic>
                </wp:inline>
              </w:drawing>
            </w:r>
          </w:p>
          <w:p w14:paraId="2391080F">
            <w:pPr>
              <w:keepNext w:val="0"/>
              <w:keepLines w:val="0"/>
              <w:suppressLineNumbers w:val="0"/>
              <w:spacing w:before="0" w:beforeAutospacing="0" w:after="0" w:afterAutospacing="0" w:line="0" w:lineRule="atLeast"/>
              <w:ind w:left="0" w:right="0"/>
              <w:jc w:val="center"/>
              <w:rPr>
                <w:rFonts w:ascii="宋体" w:hAnsi="宋体"/>
              </w:rPr>
            </w:pPr>
          </w:p>
          <w:p w14:paraId="344ECDDD">
            <w:pPr>
              <w:keepNext w:val="0"/>
              <w:keepLines w:val="0"/>
              <w:suppressLineNumbers w:val="0"/>
              <w:spacing w:before="0" w:beforeAutospacing="0" w:after="0" w:afterAutospacing="0" w:line="0" w:lineRule="atLeast"/>
              <w:ind w:left="0" w:right="0"/>
              <w:jc w:val="center"/>
              <w:rPr>
                <w:rFonts w:ascii="宋体" w:hAnsi="宋体"/>
              </w:rPr>
            </w:pPr>
          </w:p>
          <w:p w14:paraId="1C4368D8">
            <w:pPr>
              <w:keepNext w:val="0"/>
              <w:keepLines w:val="0"/>
              <w:suppressLineNumbers w:val="0"/>
              <w:spacing w:before="0" w:beforeAutospacing="0" w:after="0" w:afterAutospacing="0" w:line="0" w:lineRule="atLeast"/>
              <w:ind w:left="0" w:right="0"/>
              <w:jc w:val="center"/>
              <w:rPr>
                <w:rFonts w:ascii="宋体" w:hAnsi="宋体"/>
              </w:rPr>
            </w:pPr>
          </w:p>
          <w:p w14:paraId="6C713335">
            <w:pPr>
              <w:keepNext w:val="0"/>
              <w:keepLines w:val="0"/>
              <w:suppressLineNumbers w:val="0"/>
              <w:spacing w:before="0" w:beforeAutospacing="0" w:after="0" w:afterAutospacing="0" w:line="0" w:lineRule="atLeast"/>
              <w:ind w:left="0" w:right="0"/>
              <w:jc w:val="center"/>
              <w:rPr>
                <w:rFonts w:ascii="宋体" w:hAnsi="宋体"/>
              </w:rPr>
            </w:pPr>
          </w:p>
          <w:p w14:paraId="00FFC5AB">
            <w:pPr>
              <w:keepNext w:val="0"/>
              <w:keepLines w:val="0"/>
              <w:suppressLineNumbers w:val="0"/>
              <w:spacing w:before="0" w:beforeAutospacing="0" w:after="0" w:afterAutospacing="0" w:line="0" w:lineRule="atLeast"/>
              <w:ind w:left="0" w:right="0"/>
              <w:jc w:val="center"/>
              <w:rPr>
                <w:rFonts w:ascii="宋体" w:hAnsi="宋体"/>
              </w:rPr>
            </w:pPr>
          </w:p>
          <w:p w14:paraId="31079ECB">
            <w:pPr>
              <w:keepNext w:val="0"/>
              <w:keepLines w:val="0"/>
              <w:suppressLineNumbers w:val="0"/>
              <w:spacing w:before="0" w:beforeAutospacing="0" w:after="0" w:afterAutospacing="0" w:line="0" w:lineRule="atLeast"/>
              <w:ind w:left="0" w:right="0"/>
              <w:jc w:val="center"/>
              <w:rPr>
                <w:rFonts w:ascii="宋体" w:hAnsi="宋体"/>
              </w:rPr>
            </w:pPr>
          </w:p>
          <w:p w14:paraId="4BDA6B02">
            <w:pPr>
              <w:keepNext w:val="0"/>
              <w:keepLines w:val="0"/>
              <w:suppressLineNumbers w:val="0"/>
              <w:spacing w:before="0" w:beforeAutospacing="0" w:after="0" w:afterAutospacing="0" w:line="0" w:lineRule="atLeast"/>
              <w:ind w:left="0" w:right="0"/>
              <w:jc w:val="center"/>
              <w:rPr>
                <w:rFonts w:ascii="宋体" w:hAnsi="宋体"/>
                <w:kern w:val="0"/>
              </w:rPr>
            </w:pPr>
            <w:r>
              <w:pict>
                <v:shape id="_x0000_s2072" o:spid="_x0000_s2072" o:spt="202" type="#_x0000_t202" style="position:absolute;left:0pt;margin-left:82.15pt;margin-top:451.25pt;height:20.55pt;width:36pt;z-index:251662336;mso-width-relative:page;mso-height-relative:page;" filled="f" stroked="f" coordsize="21600,21600" o:gfxdata="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pJWdNcA&#10;AAALAQAADwAAAAAAAAABACAAAAAiAAAAZHJzL2Rvd25yZXYueG1sUEsBAhQAFAAAAAgAh07iQAhO&#10;A46uAQAATwMAAA4AAAAAAAAAAQAgAAAAJgEAAGRycy9lMm9Eb2MueG1sUEsFBgAAAAAGAAYAWQEA&#10;AEYFAAAAAA==&#10;">
                  <v:path/>
                  <v:fill on="f" focussize="0,0"/>
                  <v:stroke on="f" joinstyle="miter"/>
                  <v:imagedata o:title=""/>
                  <o:lock v:ext="edit"/>
                  <v:textbox>
                    <w:txbxContent>
                      <w:p w14:paraId="60151DEB">
                        <w:pPr>
                          <w:snapToGrid w:val="0"/>
                          <w:rPr>
                            <w:sz w:val="16"/>
                          </w:rPr>
                        </w:pPr>
                        <w:r>
                          <w:rPr>
                            <w:sz w:val="16"/>
                          </w:rPr>
                          <w:t>(0</w:t>
                        </w:r>
                        <w:r>
                          <w:rPr>
                            <w:rFonts w:hint="eastAsia"/>
                            <w:sz w:val="16"/>
                          </w:rPr>
                          <w:t>，0</w:t>
                        </w:r>
                        <w:r>
                          <w:rPr>
                            <w:sz w:val="16"/>
                          </w:rPr>
                          <w:t>)</w:t>
                        </w:r>
                      </w:p>
                    </w:txbxContent>
                  </v:textbox>
                </v:shape>
              </w:pict>
            </w:r>
            <w:r>
              <w:pict>
                <v:shape id="_x0000_s2071" o:spid="_x0000_s2071" o:spt="32" type="#_x0000_t32" style="position:absolute;left:0pt;flip:x;margin-left:41.6pt;margin-top:451.85pt;height:0.6pt;width:56pt;z-index:251664384;mso-width-relative:page;mso-height-relative:page;" filled="f" coordsize="21600,21600" o:gfxdata="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6g8QtUAAAAKAQAADwAAAAAAAAABACAA&#10;AAAiAAAAZHJzL2Rvd25yZXYueG1sUEsBAhQAFAAAAAgAh07iQB7rK90QAgAA/QMAAA4AAAAAAAAA&#10;AQAgAAAAJAEAAGRycy9lMm9Eb2MueG1sUEsFBgAAAAAGAAYAWQEAAKYFAAAAAA==&#10;">
                  <v:path arrowok="t"/>
                  <v:fill on="f" focussize="0,0"/>
                  <v:stroke dashstyle="dash" endarrow="block"/>
                  <v:imagedata o:title=""/>
                  <o:lock v:ext="edit"/>
                </v:shape>
              </w:pict>
            </w:r>
            <w:r>
              <w:pict>
                <v:shape id="_x0000_s2070" o:spid="_x0000_s2070" o:spt="202" type="#_x0000_t202" style="position:absolute;left:0pt;margin-left:119pt;margin-top:448.95pt;height:18.7pt;width:46.95pt;z-index:251663360;mso-width-relative:page;mso-height-relative:page;" filled="f" stroked="f" coordsize="21600,21600" o:gfxdata="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OoxL&#10;2QAAAAsBAAAPAAAAAAAAAAEAIAAAACIAAABkcnMvZG93bnJldi54bWxQSwECFAAUAAAACACHTuJA&#10;PgcQXa4BAABPAwAADgAAAAAAAAABACAAAAAoAQAAZHJzL2Uyb0RvYy54bWxQSwUGAAAAAAYABgBZ&#10;AQAASAUAAAAA&#10;">
                  <v:path/>
                  <v:fill on="f" focussize="0,0"/>
                  <v:stroke on="f" joinstyle="miter"/>
                  <v:imagedata o:title=""/>
                  <o:lock v:ext="edit"/>
                  <v:textbox>
                    <w:txbxContent>
                      <w:p w14:paraId="5D054913">
                        <w:pPr>
                          <w:snapToGrid w:val="0"/>
                          <w:rPr>
                            <w:sz w:val="16"/>
                          </w:rPr>
                        </w:pPr>
                        <w:r>
                          <w:rPr>
                            <w:rFonts w:hint="eastAsia"/>
                            <w:sz w:val="16"/>
                          </w:rPr>
                          <w:t>计算路径</w:t>
                        </w:r>
                      </w:p>
                    </w:txbxContent>
                  </v:textbox>
                </v:shape>
              </w:pict>
            </w:r>
            <w:r>
              <w:pict>
                <v:shape id="_x0000_s2069" o:spid="_x0000_s2069" o:spt="3" type="#_x0000_t3" style="position:absolute;left:0pt;margin-left:96.85pt;margin-top:448.35pt;height:5.65pt;width:5pt;z-index:251661312;mso-width-relative:page;mso-height-relative:page;" fillcolor="#000000" filled="t" coordsize="21600,21600" o:gfxdata="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7jC/1wAAAAsBAAAPAAAAAAAAAAEAIAAAACIAAABkcnMvZG93bnJldi54bWxQSwECFAAU&#10;AAAACACHTuJACQp39vIBAAAWBAAADgAAAAAAAAABACAAAAAmAQAAZHJzL2Uyb0RvYy54bWxQSwUG&#10;AAAAAAYABgBZAQAAigUAAAAA&#10;">
                  <v:path/>
                  <v:fill on="t" focussize="0,0"/>
                  <v:stroke/>
                  <v:imagedata o:title=""/>
                  <o:lock v:ext="edit"/>
                </v:shape>
              </w:pict>
            </w:r>
            <w:r>
              <w:pict>
                <v:shape id="_x0000_s2068" o:spid="_x0000_s2068" o:spt="32" type="#_x0000_t32" style="position:absolute;left:0pt;flip:y;margin-left:104.65pt;margin-top:450.75pt;height:0.75pt;width:65pt;z-index:251660288;mso-width-relative:page;mso-height-relative:page;" filled="f" coordsize="21600,21600" o:gfxdata="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&#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mN6edUAAAALAQAADwAAAAAAAAABACAAAAAiAAAA&#10;ZHJzL2Rvd25yZXYueG1sUEsBAhQAFAAAAAgAh07iQNezw40KAgAA/QMAAA4AAAAAAAAAAQAgAAAA&#10;JAEAAGRycy9lMm9Eb2MueG1sUEsFBgAAAAAGAAYAWQEAAKAFAAAAAA==&#10;">
                  <v:path arrowok="t"/>
                  <v:fill on="f" focussize="0,0"/>
                  <v:stroke dashstyle="dash" endarrow="block"/>
                  <v:imagedata o:title=""/>
                  <o:lock v:ext="edit"/>
                </v:shape>
              </w:pict>
            </w:r>
          </w:p>
        </w:tc>
      </w:tr>
      <w:tr w14:paraId="1EE6BD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499CB580">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导线型号</w:t>
            </w:r>
          </w:p>
        </w:tc>
        <w:tc>
          <w:tcPr>
            <w:tcW w:w="2940" w:type="dxa"/>
            <w:tcBorders>
              <w:top w:val="single" w:color="auto" w:sz="2" w:space="0"/>
              <w:left w:val="single" w:color="auto" w:sz="2" w:space="0"/>
              <w:bottom w:val="single" w:color="auto" w:sz="2" w:space="0"/>
              <w:right w:val="single" w:color="auto" w:sz="2" w:space="0"/>
            </w:tcBorders>
            <w:vAlign w:val="center"/>
          </w:tcPr>
          <w:p w14:paraId="116A5D39">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JL3/G1A-400/35</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74CD99A3">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6393F4BD">
            <w:pPr>
              <w:keepNext w:val="0"/>
              <w:keepLines w:val="0"/>
              <w:suppressLineNumbers w:val="0"/>
              <w:spacing w:before="0" w:beforeAutospacing="0" w:after="0" w:afterAutospacing="0" w:line="240" w:lineRule="exact"/>
              <w:ind w:left="0" w:right="0"/>
              <w:jc w:val="left"/>
              <w:rPr>
                <w:rFonts w:ascii="宋体" w:hAnsi="宋体"/>
                <w:kern w:val="0"/>
              </w:rPr>
            </w:pPr>
          </w:p>
        </w:tc>
      </w:tr>
      <w:tr w14:paraId="5FA5E9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480BF343">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分裂方式</w:t>
            </w:r>
          </w:p>
        </w:tc>
        <w:tc>
          <w:tcPr>
            <w:tcW w:w="2940" w:type="dxa"/>
            <w:tcBorders>
              <w:top w:val="single" w:color="auto" w:sz="2" w:space="0"/>
              <w:left w:val="single" w:color="auto" w:sz="2" w:space="0"/>
              <w:bottom w:val="single" w:color="auto" w:sz="2" w:space="0"/>
              <w:right w:val="single" w:color="auto" w:sz="2" w:space="0"/>
            </w:tcBorders>
            <w:vAlign w:val="center"/>
          </w:tcPr>
          <w:p w14:paraId="16E6D79C">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kern w:val="0"/>
                <w:szCs w:val="21"/>
              </w:rPr>
              <w:t>双分裂</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686ABABF">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1FBD712D">
            <w:pPr>
              <w:keepNext w:val="0"/>
              <w:keepLines w:val="0"/>
              <w:widowControl/>
              <w:suppressLineNumbers w:val="0"/>
              <w:spacing w:before="0" w:beforeAutospacing="0" w:after="0" w:afterAutospacing="0"/>
              <w:ind w:left="0" w:right="0"/>
              <w:jc w:val="left"/>
              <w:rPr>
                <w:rFonts w:ascii="宋体" w:hAnsi="宋体"/>
                <w:kern w:val="0"/>
              </w:rPr>
            </w:pPr>
          </w:p>
        </w:tc>
      </w:tr>
      <w:tr w14:paraId="0053FE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7E29F8B8">
            <w:pPr>
              <w:keepNext w:val="0"/>
              <w:keepLines w:val="0"/>
              <w:widowControl/>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szCs w:val="21"/>
              </w:rPr>
              <w:t>分裂导线间距</w:t>
            </w:r>
          </w:p>
        </w:tc>
        <w:tc>
          <w:tcPr>
            <w:tcW w:w="2940" w:type="dxa"/>
            <w:tcBorders>
              <w:top w:val="single" w:color="auto" w:sz="2" w:space="0"/>
              <w:left w:val="single" w:color="auto" w:sz="2" w:space="0"/>
              <w:bottom w:val="single" w:color="auto" w:sz="2" w:space="0"/>
              <w:right w:val="single" w:color="auto" w:sz="2" w:space="0"/>
            </w:tcBorders>
            <w:vAlign w:val="center"/>
          </w:tcPr>
          <w:p w14:paraId="26771B8D">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kern w:val="0"/>
                <w:szCs w:val="21"/>
              </w:rPr>
              <w:t>500mm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095B928">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277BC61E">
            <w:pPr>
              <w:keepNext w:val="0"/>
              <w:keepLines w:val="0"/>
              <w:widowControl/>
              <w:suppressLineNumbers w:val="0"/>
              <w:spacing w:before="0" w:beforeAutospacing="0" w:after="0" w:afterAutospacing="0"/>
              <w:ind w:left="0" w:right="0"/>
              <w:jc w:val="left"/>
              <w:rPr>
                <w:rFonts w:ascii="宋体" w:hAnsi="宋体"/>
                <w:kern w:val="0"/>
              </w:rPr>
            </w:pPr>
          </w:p>
        </w:tc>
      </w:tr>
      <w:tr w14:paraId="422728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4FE1EB16">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导线外径</w:t>
            </w:r>
          </w:p>
        </w:tc>
        <w:tc>
          <w:tcPr>
            <w:tcW w:w="2940" w:type="dxa"/>
            <w:tcBorders>
              <w:top w:val="single" w:color="auto" w:sz="2" w:space="0"/>
              <w:left w:val="single" w:color="auto" w:sz="2" w:space="0"/>
              <w:bottom w:val="single" w:color="auto" w:sz="2" w:space="0"/>
              <w:right w:val="single" w:color="auto" w:sz="2" w:space="0"/>
            </w:tcBorders>
            <w:vAlign w:val="center"/>
          </w:tcPr>
          <w:p w14:paraId="3F9347BE">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kern w:val="0"/>
                <w:szCs w:val="21"/>
              </w:rPr>
              <w:t>26.8mm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73861218">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6FC8858">
            <w:pPr>
              <w:keepNext w:val="0"/>
              <w:keepLines w:val="0"/>
              <w:widowControl/>
              <w:suppressLineNumbers w:val="0"/>
              <w:spacing w:before="0" w:beforeAutospacing="0" w:after="0" w:afterAutospacing="0"/>
              <w:ind w:left="0" w:right="0"/>
              <w:jc w:val="left"/>
              <w:rPr>
                <w:rFonts w:ascii="宋体" w:hAnsi="宋体"/>
                <w:kern w:val="0"/>
              </w:rPr>
            </w:pPr>
          </w:p>
        </w:tc>
      </w:tr>
      <w:tr w14:paraId="2DA5EB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5F917C1A">
            <w:pPr>
              <w:keepNext w:val="0"/>
              <w:keepLines w:val="0"/>
              <w:widowControl/>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bCs/>
                <w:szCs w:val="21"/>
              </w:rPr>
              <w:t>地线型式及</w:t>
            </w:r>
            <w:r>
              <w:rPr>
                <w:rFonts w:hint="eastAsia" w:ascii="宋体" w:hAnsi="宋体"/>
                <w:kern w:val="0"/>
                <w:szCs w:val="21"/>
              </w:rPr>
              <w:t>外径</w:t>
            </w:r>
          </w:p>
        </w:tc>
        <w:tc>
          <w:tcPr>
            <w:tcW w:w="2940" w:type="dxa"/>
            <w:tcBorders>
              <w:top w:val="single" w:color="auto" w:sz="2" w:space="0"/>
              <w:left w:val="single" w:color="auto" w:sz="2" w:space="0"/>
              <w:bottom w:val="single" w:color="auto" w:sz="2" w:space="0"/>
              <w:right w:val="single" w:color="auto" w:sz="2" w:space="0"/>
            </w:tcBorders>
            <w:vAlign w:val="center"/>
          </w:tcPr>
          <w:p w14:paraId="1DCADB1E">
            <w:pPr>
              <w:keepNext w:val="0"/>
              <w:keepLines w:val="0"/>
              <w:suppressLineNumbers w:val="0"/>
              <w:spacing w:before="0" w:beforeAutospacing="0" w:after="0" w:afterAutospacing="0" w:line="240" w:lineRule="exact"/>
              <w:ind w:left="0" w:right="0"/>
              <w:jc w:val="left"/>
              <w:rPr>
                <w:rFonts w:ascii="宋体" w:hAnsi="宋体"/>
                <w:szCs w:val="21"/>
              </w:rPr>
            </w:pPr>
            <w:r>
              <w:rPr>
                <w:rFonts w:hint="eastAsia" w:ascii="宋体" w:hAnsi="宋体"/>
                <w:szCs w:val="21"/>
              </w:rPr>
              <w:t>复合光缆，外径</w:t>
            </w:r>
            <w:r>
              <w:rPr>
                <w:rFonts w:hint="eastAsia"/>
                <w:kern w:val="0"/>
                <w:szCs w:val="21"/>
              </w:rPr>
              <w:t>15mm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5CE64FA9">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4259B8C5">
            <w:pPr>
              <w:keepNext w:val="0"/>
              <w:keepLines w:val="0"/>
              <w:widowControl/>
              <w:suppressLineNumbers w:val="0"/>
              <w:spacing w:before="0" w:beforeAutospacing="0" w:after="0" w:afterAutospacing="0"/>
              <w:ind w:left="0" w:right="0"/>
              <w:jc w:val="left"/>
              <w:rPr>
                <w:rFonts w:ascii="宋体" w:hAnsi="宋体"/>
                <w:kern w:val="0"/>
              </w:rPr>
            </w:pPr>
          </w:p>
        </w:tc>
      </w:tr>
      <w:tr w14:paraId="48009D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right w:val="single" w:color="auto" w:sz="2" w:space="0"/>
            </w:tcBorders>
            <w:vAlign w:val="center"/>
          </w:tcPr>
          <w:p w14:paraId="49019BAD">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bCs/>
                <w:szCs w:val="21"/>
              </w:rPr>
              <w:t>输送功率</w:t>
            </w:r>
          </w:p>
        </w:tc>
        <w:tc>
          <w:tcPr>
            <w:tcW w:w="2940" w:type="dxa"/>
            <w:tcBorders>
              <w:top w:val="single" w:color="auto" w:sz="2" w:space="0"/>
              <w:left w:val="single" w:color="auto" w:sz="2" w:space="0"/>
              <w:right w:val="single" w:color="auto" w:sz="2" w:space="0"/>
            </w:tcBorders>
            <w:vAlign w:val="center"/>
          </w:tcPr>
          <w:p w14:paraId="42031C67">
            <w:pPr>
              <w:keepNext w:val="0"/>
              <w:keepLines w:val="0"/>
              <w:suppressLineNumbers w:val="0"/>
              <w:spacing w:before="0" w:beforeAutospacing="0" w:after="0" w:afterAutospacing="0" w:line="240" w:lineRule="exact"/>
              <w:ind w:left="0" w:right="0"/>
              <w:jc w:val="center"/>
              <w:rPr>
                <w:rFonts w:ascii="宋体" w:hAnsi="宋体"/>
                <w:szCs w:val="21"/>
              </w:rPr>
            </w:pPr>
            <w:r>
              <w:rPr>
                <w:rFonts w:hint="eastAsia"/>
                <w:kern w:val="0"/>
                <w:szCs w:val="21"/>
              </w:rPr>
              <w:t>480MW</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42B018A6">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2047278B">
            <w:pPr>
              <w:keepNext w:val="0"/>
              <w:keepLines w:val="0"/>
              <w:widowControl/>
              <w:suppressLineNumbers w:val="0"/>
              <w:spacing w:before="0" w:beforeAutospacing="0" w:after="0" w:afterAutospacing="0"/>
              <w:ind w:left="0" w:right="0"/>
              <w:jc w:val="center"/>
              <w:rPr>
                <w:rFonts w:ascii="宋体" w:hAnsi="宋体"/>
                <w:kern w:val="0"/>
              </w:rPr>
            </w:pPr>
          </w:p>
        </w:tc>
      </w:tr>
      <w:tr w14:paraId="09D34A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right w:val="single" w:color="auto" w:sz="2" w:space="0"/>
            </w:tcBorders>
            <w:vAlign w:val="center"/>
          </w:tcPr>
          <w:p w14:paraId="0957AB82">
            <w:pPr>
              <w:keepNext w:val="0"/>
              <w:keepLines w:val="0"/>
              <w:widowControl/>
              <w:suppressLineNumbers w:val="0"/>
              <w:spacing w:before="0" w:beforeAutospacing="0" w:after="0" w:afterAutospacing="0" w:line="240" w:lineRule="exact"/>
              <w:ind w:left="0" w:right="0"/>
              <w:jc w:val="center"/>
              <w:rPr>
                <w:rFonts w:ascii="宋体" w:hAnsi="宋体"/>
                <w:bCs/>
                <w:szCs w:val="21"/>
              </w:rPr>
            </w:pPr>
            <w:r>
              <w:rPr>
                <w:rFonts w:hint="eastAsia" w:ascii="宋体" w:hAnsi="宋体"/>
                <w:bCs/>
                <w:szCs w:val="21"/>
              </w:rPr>
              <w:t>预测电压</w:t>
            </w:r>
          </w:p>
        </w:tc>
        <w:tc>
          <w:tcPr>
            <w:tcW w:w="2940" w:type="dxa"/>
            <w:tcBorders>
              <w:top w:val="single" w:color="auto" w:sz="2" w:space="0"/>
              <w:left w:val="single" w:color="auto" w:sz="2" w:space="0"/>
              <w:right w:val="single" w:color="auto" w:sz="2" w:space="0"/>
            </w:tcBorders>
            <w:vAlign w:val="center"/>
          </w:tcPr>
          <w:p w14:paraId="29A75117">
            <w:pPr>
              <w:keepNext w:val="0"/>
              <w:keepLines w:val="0"/>
              <w:suppressLineNumbers w:val="0"/>
              <w:spacing w:before="0" w:beforeAutospacing="0" w:after="0" w:afterAutospacing="0" w:line="240" w:lineRule="exact"/>
              <w:ind w:left="0" w:right="0"/>
              <w:jc w:val="center"/>
              <w:rPr>
                <w:rFonts w:ascii="宋体" w:hAnsi="宋体"/>
                <w:szCs w:val="21"/>
              </w:rPr>
            </w:pPr>
            <w:r>
              <w:rPr>
                <w:rFonts w:hint="eastAsia"/>
                <w:kern w:val="0"/>
                <w:szCs w:val="21"/>
              </w:rPr>
              <w:t>231kV</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034A2602">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6B992A46">
            <w:pPr>
              <w:keepNext w:val="0"/>
              <w:keepLines w:val="0"/>
              <w:widowControl/>
              <w:suppressLineNumbers w:val="0"/>
              <w:spacing w:before="0" w:beforeAutospacing="0" w:after="0" w:afterAutospacing="0"/>
              <w:ind w:left="0" w:right="0"/>
              <w:jc w:val="left"/>
              <w:rPr>
                <w:rFonts w:ascii="宋体" w:hAnsi="宋体"/>
                <w:kern w:val="0"/>
              </w:rPr>
            </w:pPr>
          </w:p>
        </w:tc>
      </w:tr>
      <w:tr w14:paraId="60EFFF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1307C2AF">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导线垂直间距</w:t>
            </w:r>
          </w:p>
        </w:tc>
        <w:tc>
          <w:tcPr>
            <w:tcW w:w="2940" w:type="dxa"/>
            <w:tcBorders>
              <w:top w:val="single" w:color="auto" w:sz="2" w:space="0"/>
              <w:left w:val="single" w:color="auto" w:sz="2" w:space="0"/>
              <w:right w:val="single" w:color="auto" w:sz="2" w:space="0"/>
            </w:tcBorders>
            <w:vAlign w:val="center"/>
          </w:tcPr>
          <w:p w14:paraId="2D96CEE3">
            <w:pPr>
              <w:keepNext w:val="0"/>
              <w:keepLines w:val="0"/>
              <w:suppressLineNumbers w:val="0"/>
              <w:spacing w:before="0" w:beforeAutospacing="0" w:after="0" w:afterAutospacing="0" w:line="0" w:lineRule="atLeast"/>
              <w:ind w:left="0" w:right="0"/>
              <w:jc w:val="center"/>
              <w:rPr>
                <w:rFonts w:ascii="宋体" w:hAnsi="宋体"/>
                <w:kern w:val="0"/>
                <w:szCs w:val="21"/>
              </w:rPr>
            </w:pPr>
            <w:r>
              <w:rPr>
                <w:kern w:val="0"/>
                <w:szCs w:val="21"/>
              </w:rPr>
              <w:t>A</w:t>
            </w:r>
            <w:r>
              <w:rPr>
                <w:rFonts w:hint="eastAsia" w:ascii="宋体" w:hAnsi="宋体"/>
                <w:kern w:val="0"/>
                <w:szCs w:val="21"/>
              </w:rPr>
              <w:t>相</w:t>
            </w:r>
            <w:r>
              <w:rPr>
                <w:rFonts w:hint="eastAsia"/>
                <w:kern w:val="0"/>
                <w:szCs w:val="21"/>
              </w:rPr>
              <w:t>-B</w:t>
            </w:r>
            <w:r>
              <w:rPr>
                <w:rFonts w:hint="eastAsia" w:ascii="宋体" w:hAnsi="宋体"/>
                <w:kern w:val="0"/>
                <w:szCs w:val="21"/>
              </w:rPr>
              <w:t>相：</w:t>
            </w:r>
            <w:r>
              <w:rPr>
                <w:rFonts w:hint="eastAsia"/>
                <w:kern w:val="0"/>
                <w:szCs w:val="21"/>
              </w:rPr>
              <w:t>5m</w:t>
            </w:r>
          </w:p>
          <w:p w14:paraId="06EA8021">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C</w:t>
            </w:r>
            <w:r>
              <w:rPr>
                <w:rFonts w:hint="eastAsia" w:ascii="宋体" w:hAnsi="宋体"/>
                <w:kern w:val="0"/>
                <w:szCs w:val="21"/>
              </w:rPr>
              <w:t>相</w:t>
            </w:r>
            <w:r>
              <w:rPr>
                <w:rFonts w:hint="eastAsia"/>
                <w:kern w:val="0"/>
                <w:szCs w:val="21"/>
              </w:rPr>
              <w:t>-B</w:t>
            </w:r>
            <w:r>
              <w:rPr>
                <w:rFonts w:hint="eastAsia" w:ascii="宋体" w:hAnsi="宋体"/>
                <w:kern w:val="0"/>
                <w:szCs w:val="21"/>
              </w:rPr>
              <w:t>相：</w:t>
            </w:r>
            <w:r>
              <w:rPr>
                <w:rFonts w:hint="eastAsia"/>
                <w:kern w:val="0"/>
                <w:szCs w:val="21"/>
              </w:rPr>
              <w:t>5m</w:t>
            </w:r>
          </w:p>
          <w:p w14:paraId="2E195B2E">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w:t>
            </w:r>
            <w:r>
              <w:rPr>
                <w:rFonts w:hint="eastAsia" w:ascii="宋体" w:hAnsi="宋体"/>
                <w:kern w:val="0"/>
                <w:szCs w:val="21"/>
              </w:rPr>
              <w:t>相</w:t>
            </w:r>
            <w:r>
              <w:rPr>
                <w:rFonts w:hint="eastAsia"/>
                <w:kern w:val="0"/>
                <w:szCs w:val="21"/>
              </w:rPr>
              <w:t>-C</w:t>
            </w:r>
            <w:r>
              <w:rPr>
                <w:rFonts w:hint="eastAsia" w:ascii="宋体" w:hAnsi="宋体"/>
                <w:kern w:val="0"/>
                <w:szCs w:val="21"/>
              </w:rPr>
              <w:t>相：</w:t>
            </w:r>
            <w:r>
              <w:rPr>
                <w:rFonts w:hint="eastAsia"/>
                <w:kern w:val="0"/>
                <w:szCs w:val="21"/>
              </w:rPr>
              <w:t>0m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042A51DF">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B79E3AA">
            <w:pPr>
              <w:keepNext w:val="0"/>
              <w:keepLines w:val="0"/>
              <w:widowControl/>
              <w:suppressLineNumbers w:val="0"/>
              <w:spacing w:before="0" w:beforeAutospacing="0" w:after="0" w:afterAutospacing="0"/>
              <w:ind w:left="0" w:right="0"/>
              <w:jc w:val="left"/>
              <w:rPr>
                <w:rFonts w:ascii="宋体" w:hAnsi="宋体"/>
                <w:kern w:val="0"/>
              </w:rPr>
            </w:pPr>
          </w:p>
        </w:tc>
      </w:tr>
      <w:tr w14:paraId="2E0099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5DDD0991">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w:t>
            </w:r>
          </w:p>
        </w:tc>
        <w:tc>
          <w:tcPr>
            <w:tcW w:w="2940" w:type="dxa"/>
            <w:tcBorders>
              <w:top w:val="single" w:color="auto" w:sz="2" w:space="0"/>
              <w:left w:val="single" w:color="auto" w:sz="2" w:space="0"/>
              <w:bottom w:val="single" w:color="auto" w:sz="2" w:space="0"/>
              <w:right w:val="single" w:color="auto" w:sz="2" w:space="0"/>
            </w:tcBorders>
            <w:vAlign w:val="center"/>
          </w:tcPr>
          <w:p w14:paraId="59118F48">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A-B-C</w:t>
            </w:r>
            <w:r>
              <w:rPr>
                <w:rFonts w:hint="eastAsia" w:ascii="宋体" w:hAnsi="宋体"/>
                <w:kern w:val="0"/>
                <w:szCs w:val="21"/>
              </w:rPr>
              <w:t>(左中右)</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50C56DD2">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AEE9C3C">
            <w:pPr>
              <w:keepNext w:val="0"/>
              <w:keepLines w:val="0"/>
              <w:widowControl/>
              <w:suppressLineNumbers w:val="0"/>
              <w:spacing w:before="0" w:beforeAutospacing="0" w:after="0" w:afterAutospacing="0"/>
              <w:ind w:left="0" w:right="0"/>
              <w:jc w:val="left"/>
              <w:rPr>
                <w:rFonts w:ascii="宋体" w:hAnsi="宋体"/>
                <w:kern w:val="0"/>
              </w:rPr>
            </w:pPr>
          </w:p>
        </w:tc>
      </w:tr>
      <w:tr w14:paraId="101373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68F46045">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导线水平间距</w:t>
            </w:r>
          </w:p>
        </w:tc>
        <w:tc>
          <w:tcPr>
            <w:tcW w:w="2940" w:type="dxa"/>
            <w:tcBorders>
              <w:top w:val="single" w:color="auto" w:sz="2" w:space="0"/>
              <w:left w:val="single" w:color="auto" w:sz="2" w:space="0"/>
              <w:right w:val="single" w:color="auto" w:sz="2" w:space="0"/>
            </w:tcBorders>
            <w:vAlign w:val="center"/>
          </w:tcPr>
          <w:p w14:paraId="48E4F5D5">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w:t>
            </w:r>
            <w:r>
              <w:rPr>
                <w:rFonts w:hint="eastAsia" w:ascii="宋体" w:hAnsi="宋体"/>
                <w:kern w:val="0"/>
                <w:szCs w:val="21"/>
              </w:rPr>
              <w:t>相</w:t>
            </w:r>
            <w:r>
              <w:rPr>
                <w:rFonts w:hint="eastAsia"/>
                <w:kern w:val="0"/>
                <w:szCs w:val="21"/>
              </w:rPr>
              <w:t>-B</w:t>
            </w:r>
            <w:r>
              <w:rPr>
                <w:rFonts w:hint="eastAsia" w:ascii="宋体" w:hAnsi="宋体"/>
                <w:kern w:val="0"/>
                <w:szCs w:val="21"/>
              </w:rPr>
              <w:t>相：</w:t>
            </w:r>
            <w:r>
              <w:rPr>
                <w:rFonts w:hint="eastAsia"/>
                <w:kern w:val="0"/>
                <w:szCs w:val="21"/>
              </w:rPr>
              <w:t>12.5m</w:t>
            </w:r>
          </w:p>
          <w:p w14:paraId="24A4E9BC">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C</w:t>
            </w:r>
            <w:r>
              <w:rPr>
                <w:rFonts w:hint="eastAsia" w:ascii="宋体" w:hAnsi="宋体"/>
                <w:kern w:val="0"/>
                <w:szCs w:val="21"/>
              </w:rPr>
              <w:t>相</w:t>
            </w:r>
            <w:r>
              <w:rPr>
                <w:rFonts w:hint="eastAsia"/>
                <w:kern w:val="0"/>
                <w:szCs w:val="21"/>
              </w:rPr>
              <w:t>-B相：1.5m</w:t>
            </w:r>
          </w:p>
          <w:p w14:paraId="78926629">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A相-C</w:t>
            </w:r>
            <w:r>
              <w:rPr>
                <w:rFonts w:hint="eastAsia" w:ascii="宋体" w:hAnsi="宋体"/>
                <w:kern w:val="0"/>
                <w:szCs w:val="21"/>
              </w:rPr>
              <w:t>相：</w:t>
            </w:r>
            <w:r>
              <w:rPr>
                <w:rFonts w:hint="eastAsia"/>
                <w:kern w:val="0"/>
                <w:szCs w:val="21"/>
              </w:rPr>
              <w:t>14m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ADB4930">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66BE51E8">
            <w:pPr>
              <w:keepNext w:val="0"/>
              <w:keepLines w:val="0"/>
              <w:widowControl/>
              <w:suppressLineNumbers w:val="0"/>
              <w:spacing w:before="0" w:beforeAutospacing="0" w:after="0" w:afterAutospacing="0"/>
              <w:ind w:left="0" w:right="0"/>
              <w:jc w:val="left"/>
              <w:rPr>
                <w:rFonts w:ascii="宋体" w:hAnsi="宋体"/>
                <w:kern w:val="0"/>
              </w:rPr>
            </w:pPr>
          </w:p>
        </w:tc>
      </w:tr>
      <w:tr w14:paraId="5EED19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2" w:space="0"/>
              <w:right w:val="single" w:color="auto" w:sz="2" w:space="0"/>
            </w:tcBorders>
            <w:vAlign w:val="center"/>
          </w:tcPr>
          <w:p w14:paraId="38440522">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AC</w:t>
            </w:r>
            <w:r>
              <w:rPr>
                <w:rFonts w:hint="eastAsia" w:ascii="宋体" w:hAnsi="宋体"/>
                <w:kern w:val="0"/>
                <w:szCs w:val="21"/>
              </w:rPr>
              <w:t>相导线-与地线垂直间距</w:t>
            </w:r>
          </w:p>
        </w:tc>
        <w:tc>
          <w:tcPr>
            <w:tcW w:w="2940" w:type="dxa"/>
            <w:tcBorders>
              <w:top w:val="single" w:color="auto" w:sz="2" w:space="0"/>
              <w:left w:val="single" w:color="auto" w:sz="2" w:space="0"/>
              <w:bottom w:val="single" w:color="auto" w:sz="2" w:space="0"/>
              <w:right w:val="single" w:color="auto" w:sz="2" w:space="0"/>
            </w:tcBorders>
            <w:vAlign w:val="center"/>
          </w:tcPr>
          <w:p w14:paraId="44FC401E">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9.5m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16635274">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417BBB24">
            <w:pPr>
              <w:keepNext w:val="0"/>
              <w:keepLines w:val="0"/>
              <w:widowControl/>
              <w:suppressLineNumbers w:val="0"/>
              <w:spacing w:before="0" w:beforeAutospacing="0" w:after="0" w:afterAutospacing="0"/>
              <w:ind w:left="0" w:right="0"/>
              <w:jc w:val="left"/>
              <w:rPr>
                <w:rFonts w:ascii="宋体" w:hAnsi="宋体"/>
                <w:kern w:val="0"/>
              </w:rPr>
            </w:pPr>
          </w:p>
        </w:tc>
      </w:tr>
      <w:tr w14:paraId="2C75C6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822" w:type="dxa"/>
            <w:tcBorders>
              <w:top w:val="single" w:color="auto" w:sz="2" w:space="0"/>
              <w:left w:val="single" w:color="auto" w:sz="12" w:space="0"/>
              <w:bottom w:val="single" w:color="auto" w:sz="12" w:space="0"/>
              <w:right w:val="single" w:color="auto" w:sz="2" w:space="0"/>
            </w:tcBorders>
            <w:vAlign w:val="center"/>
          </w:tcPr>
          <w:p w14:paraId="4BE50935">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绝缘子串长度</w:t>
            </w:r>
          </w:p>
        </w:tc>
        <w:tc>
          <w:tcPr>
            <w:tcW w:w="2940" w:type="dxa"/>
            <w:tcBorders>
              <w:top w:val="single" w:color="auto" w:sz="2" w:space="0"/>
              <w:left w:val="single" w:color="auto" w:sz="2" w:space="0"/>
              <w:bottom w:val="single" w:color="auto" w:sz="12" w:space="0"/>
              <w:right w:val="single" w:color="auto" w:sz="2" w:space="0"/>
            </w:tcBorders>
            <w:vAlign w:val="center"/>
          </w:tcPr>
          <w:p w14:paraId="1D031E77">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2.2</w:t>
            </w:r>
            <w:r>
              <w:rPr>
                <w:rFonts w:hint="eastAsia" w:ascii="宋体" w:hAnsi="宋体"/>
                <w:kern w:val="0"/>
                <w:szCs w:val="21"/>
              </w:rPr>
              <w:t>m（计算不考虑）</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4CC6AF4D">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2995A4AF">
            <w:pPr>
              <w:keepNext w:val="0"/>
              <w:keepLines w:val="0"/>
              <w:widowControl/>
              <w:suppressLineNumbers w:val="0"/>
              <w:spacing w:before="0" w:beforeAutospacing="0" w:after="0" w:afterAutospacing="0"/>
              <w:ind w:left="0" w:right="0"/>
              <w:jc w:val="left"/>
              <w:rPr>
                <w:rFonts w:ascii="宋体" w:hAnsi="宋体"/>
                <w:kern w:val="0"/>
              </w:rPr>
            </w:pPr>
          </w:p>
        </w:tc>
      </w:tr>
    </w:tbl>
    <w:p w14:paraId="1D1F6610">
      <w:pPr>
        <w:spacing w:beforeLines="50"/>
        <w:jc w:val="center"/>
        <w:rPr>
          <w:rFonts w:ascii="宋体" w:hAnsi="宋体"/>
          <w:b/>
          <w:sz w:val="21"/>
          <w:szCs w:val="21"/>
        </w:rPr>
      </w:pPr>
      <w:r>
        <w:rPr>
          <w:rFonts w:hint="eastAsia" w:ascii="宋体" w:hAnsi="宋体"/>
          <w:b/>
          <w:sz w:val="21"/>
          <w:szCs w:val="21"/>
        </w:rPr>
        <w:t>表</w:t>
      </w:r>
      <w:r>
        <w:rPr>
          <w:b/>
          <w:sz w:val="21"/>
          <w:szCs w:val="21"/>
        </w:rPr>
        <w:t xml:space="preserve">3.2-2 </w:t>
      </w:r>
      <w:r>
        <w:rPr>
          <w:rFonts w:hint="eastAsia" w:ascii="宋体" w:hAnsi="宋体"/>
          <w:b/>
          <w:sz w:val="21"/>
          <w:szCs w:val="21"/>
        </w:rPr>
        <w:t xml:space="preserve">      双回路线路段(</w:t>
      </w:r>
      <w:r>
        <w:rPr>
          <w:rFonts w:hint="eastAsia"/>
          <w:b/>
          <w:sz w:val="21"/>
          <w:szCs w:val="21"/>
        </w:rPr>
        <w:t>220-GD22S-DJ</w:t>
      </w:r>
      <w:r>
        <w:rPr>
          <w:rFonts w:hint="eastAsia" w:ascii="宋体" w:hAnsi="宋体"/>
          <w:b/>
          <w:sz w:val="21"/>
          <w:szCs w:val="21"/>
        </w:rPr>
        <w:t>)计算参数</w:t>
      </w:r>
    </w:p>
    <w:tbl>
      <w:tblPr>
        <w:tblStyle w:val="21"/>
        <w:tblW w:w="8925" w:type="dxa"/>
        <w:tblInd w:w="-34"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22"/>
        <w:gridCol w:w="1155"/>
        <w:gridCol w:w="1785"/>
        <w:gridCol w:w="481"/>
        <w:gridCol w:w="3682"/>
      </w:tblGrid>
      <w:tr w14:paraId="6D2D97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12" w:space="0"/>
              <w:left w:val="single" w:color="auto" w:sz="12" w:space="0"/>
              <w:bottom w:val="single" w:color="auto" w:sz="2" w:space="0"/>
              <w:right w:val="single" w:color="auto" w:sz="2" w:space="0"/>
            </w:tcBorders>
            <w:vAlign w:val="center"/>
          </w:tcPr>
          <w:p w14:paraId="6ECB8A5E">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线路</w:t>
            </w:r>
          </w:p>
        </w:tc>
        <w:tc>
          <w:tcPr>
            <w:tcW w:w="2940" w:type="dxa"/>
            <w:gridSpan w:val="2"/>
            <w:tcBorders>
              <w:top w:val="single" w:color="auto" w:sz="12" w:space="0"/>
              <w:left w:val="single" w:color="auto" w:sz="2" w:space="0"/>
              <w:bottom w:val="single" w:color="auto" w:sz="2" w:space="0"/>
              <w:right w:val="single" w:color="auto" w:sz="2" w:space="0"/>
            </w:tcBorders>
            <w:vAlign w:val="center"/>
          </w:tcPr>
          <w:p w14:paraId="14A73F7A">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kern w:val="0"/>
                <w:szCs w:val="21"/>
              </w:rPr>
              <w:t>220kV</w:t>
            </w:r>
            <w:r>
              <w:rPr>
                <w:rFonts w:hint="eastAsia" w:ascii="宋体" w:hAnsi="宋体"/>
                <w:kern w:val="0"/>
                <w:szCs w:val="21"/>
              </w:rPr>
              <w:t>双回线路</w:t>
            </w:r>
          </w:p>
        </w:tc>
        <w:tc>
          <w:tcPr>
            <w:tcW w:w="481" w:type="dxa"/>
            <w:vMerge w:val="restart"/>
            <w:tcBorders>
              <w:top w:val="single" w:color="auto" w:sz="12" w:space="0"/>
              <w:left w:val="single" w:color="auto" w:sz="2" w:space="0"/>
              <w:bottom w:val="single" w:color="auto" w:sz="2" w:space="0"/>
              <w:right w:val="single" w:color="auto" w:sz="2" w:space="0"/>
            </w:tcBorders>
            <w:vAlign w:val="center"/>
          </w:tcPr>
          <w:p w14:paraId="630AD5C4">
            <w:pPr>
              <w:keepNext w:val="0"/>
              <w:keepLines w:val="0"/>
              <w:widowControl/>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计算</w:t>
            </w:r>
          </w:p>
          <w:p w14:paraId="4D5DE9A0">
            <w:pPr>
              <w:keepNext w:val="0"/>
              <w:keepLines w:val="0"/>
              <w:widowControl/>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原点</w:t>
            </w:r>
          </w:p>
        </w:tc>
        <w:tc>
          <w:tcPr>
            <w:tcW w:w="3682" w:type="dxa"/>
            <w:vMerge w:val="restart"/>
            <w:tcBorders>
              <w:top w:val="single" w:color="auto" w:sz="12" w:space="0"/>
              <w:left w:val="single" w:color="auto" w:sz="2" w:space="0"/>
              <w:bottom w:val="single" w:color="auto" w:sz="2" w:space="0"/>
              <w:right w:val="single" w:color="auto" w:sz="12" w:space="0"/>
            </w:tcBorders>
            <w:vAlign w:val="center"/>
          </w:tcPr>
          <w:p w14:paraId="2C236271">
            <w:pPr>
              <w:keepNext w:val="0"/>
              <w:keepLines w:val="0"/>
              <w:suppressLineNumbers w:val="0"/>
              <w:spacing w:before="0" w:beforeAutospacing="0" w:after="0" w:afterAutospacing="0" w:line="0" w:lineRule="atLeast"/>
              <w:ind w:left="0" w:right="0"/>
              <w:jc w:val="center"/>
              <w:rPr>
                <w:rFonts w:ascii="宋体" w:hAnsi="宋体"/>
                <w:szCs w:val="20"/>
              </w:rPr>
            </w:pPr>
            <w:r>
              <w:rPr>
                <w:rFonts w:hint="eastAsia" w:ascii="宋体" w:hAnsi="宋体"/>
              </w:rPr>
              <w:t>线路杆塔中心</w:t>
            </w:r>
          </w:p>
          <w:p w14:paraId="2DD26E5D">
            <w:pPr>
              <w:keepNext w:val="0"/>
              <w:keepLines w:val="0"/>
              <w:suppressLineNumbers w:val="0"/>
              <w:spacing w:before="0" w:beforeAutospacing="0" w:after="0" w:afterAutospacing="0" w:line="0" w:lineRule="atLeast"/>
              <w:ind w:left="0" w:right="0"/>
              <w:jc w:val="center"/>
              <w:rPr>
                <w:rFonts w:ascii="宋体" w:hAnsi="宋体"/>
                <w:kern w:val="0"/>
              </w:rPr>
            </w:pPr>
            <w:r>
              <w:rPr>
                <w:rFonts w:hint="eastAsia" w:ascii="宋体" w:hAnsi="宋体"/>
              </w:rPr>
              <w:t>在地面投影的交点</w:t>
            </w:r>
          </w:p>
        </w:tc>
      </w:tr>
      <w:tr w14:paraId="088FE2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6C9C905D">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采用塔型</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431EC83B">
            <w:pPr>
              <w:keepNext w:val="0"/>
              <w:keepLines w:val="0"/>
              <w:widowControl/>
              <w:suppressLineNumbers w:val="0"/>
              <w:spacing w:before="0" w:beforeAutospacing="0" w:after="0" w:afterAutospacing="0" w:line="0" w:lineRule="atLeast"/>
              <w:ind w:left="0" w:right="0"/>
              <w:jc w:val="center"/>
              <w:rPr>
                <w:rFonts w:ascii="宋体" w:hAnsi="宋体"/>
                <w:szCs w:val="21"/>
              </w:rPr>
            </w:pPr>
            <w:r>
              <w:rPr>
                <w:rFonts w:hint="eastAsia"/>
                <w:kern w:val="0"/>
                <w:szCs w:val="21"/>
              </w:rPr>
              <w:t>220-GD22S-DJ</w:t>
            </w:r>
          </w:p>
        </w:tc>
        <w:tc>
          <w:tcPr>
            <w:tcW w:w="481" w:type="dxa"/>
            <w:vMerge w:val="continue"/>
            <w:tcBorders>
              <w:top w:val="single" w:color="auto" w:sz="12" w:space="0"/>
              <w:left w:val="single" w:color="auto" w:sz="2" w:space="0"/>
              <w:bottom w:val="single" w:color="auto" w:sz="2" w:space="0"/>
              <w:right w:val="single" w:color="auto" w:sz="2" w:space="0"/>
            </w:tcBorders>
            <w:vAlign w:val="center"/>
          </w:tcPr>
          <w:p w14:paraId="7ED9DE26">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12" w:space="0"/>
              <w:left w:val="single" w:color="auto" w:sz="2" w:space="0"/>
              <w:bottom w:val="single" w:color="auto" w:sz="2" w:space="0"/>
              <w:right w:val="single" w:color="auto" w:sz="12" w:space="0"/>
            </w:tcBorders>
            <w:vAlign w:val="center"/>
          </w:tcPr>
          <w:p w14:paraId="0DD9D1DC">
            <w:pPr>
              <w:keepNext w:val="0"/>
              <w:keepLines w:val="0"/>
              <w:widowControl/>
              <w:suppressLineNumbers w:val="0"/>
              <w:spacing w:before="0" w:beforeAutospacing="0" w:after="0" w:afterAutospacing="0"/>
              <w:ind w:left="0" w:right="0"/>
              <w:jc w:val="left"/>
              <w:rPr>
                <w:rFonts w:ascii="宋体" w:hAnsi="宋体"/>
                <w:kern w:val="0"/>
              </w:rPr>
            </w:pPr>
          </w:p>
        </w:tc>
      </w:tr>
      <w:tr w14:paraId="555FA2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02D10F00">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相序排列方式</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102512E4">
            <w:pPr>
              <w:keepNext w:val="0"/>
              <w:keepLines w:val="0"/>
              <w:widowControl/>
              <w:suppressLineNumbers w:val="0"/>
              <w:spacing w:before="0" w:beforeAutospacing="0" w:after="0" w:afterAutospacing="0" w:line="0" w:lineRule="atLeast"/>
              <w:ind w:left="0" w:right="0"/>
              <w:jc w:val="center"/>
              <w:rPr>
                <w:rFonts w:ascii="宋体" w:hAnsi="宋体"/>
                <w:szCs w:val="21"/>
              </w:rPr>
            </w:pPr>
            <w:r>
              <w:rPr>
                <w:rFonts w:hint="eastAsia" w:ascii="宋体" w:hAnsi="宋体"/>
                <w:szCs w:val="21"/>
              </w:rPr>
              <w:t>同相序排列</w:t>
            </w:r>
          </w:p>
        </w:tc>
        <w:tc>
          <w:tcPr>
            <w:tcW w:w="481" w:type="dxa"/>
            <w:vMerge w:val="restart"/>
            <w:tcBorders>
              <w:top w:val="single" w:color="auto" w:sz="2" w:space="0"/>
              <w:left w:val="single" w:color="auto" w:sz="2" w:space="0"/>
              <w:bottom w:val="single" w:color="auto" w:sz="12" w:space="0"/>
              <w:right w:val="single" w:color="auto" w:sz="2" w:space="0"/>
            </w:tcBorders>
            <w:vAlign w:val="center"/>
          </w:tcPr>
          <w:p w14:paraId="22E25193">
            <w:pPr>
              <w:keepNext w:val="0"/>
              <w:keepLines w:val="0"/>
              <w:suppressLineNumbers w:val="0"/>
              <w:spacing w:before="0" w:beforeAutospacing="0" w:after="0" w:afterAutospacing="0" w:line="0" w:lineRule="atLeast"/>
              <w:ind w:left="0" w:right="0"/>
              <w:jc w:val="center"/>
              <w:rPr>
                <w:rFonts w:ascii="宋体" w:hAnsi="宋体"/>
                <w:kern w:val="0"/>
              </w:rPr>
            </w:pPr>
            <w:r>
              <w:rPr>
                <w:rFonts w:hint="eastAsia" w:ascii="宋体" w:hAnsi="宋体"/>
                <w:kern w:val="0"/>
              </w:rPr>
              <w:t>相间距坐标</w:t>
            </w:r>
          </w:p>
        </w:tc>
        <w:tc>
          <w:tcPr>
            <w:tcW w:w="3682" w:type="dxa"/>
            <w:vMerge w:val="restart"/>
            <w:tcBorders>
              <w:top w:val="single" w:color="auto" w:sz="2" w:space="0"/>
              <w:left w:val="single" w:color="auto" w:sz="2" w:space="0"/>
              <w:bottom w:val="single" w:color="auto" w:sz="12" w:space="0"/>
              <w:right w:val="single" w:color="auto" w:sz="12" w:space="0"/>
            </w:tcBorders>
          </w:tcPr>
          <w:p w14:paraId="7B377C58">
            <w:pPr>
              <w:keepNext w:val="0"/>
              <w:keepLines w:val="0"/>
              <w:suppressLineNumbers w:val="0"/>
              <w:spacing w:before="0" w:beforeAutospacing="0" w:after="0" w:afterAutospacing="0" w:line="0" w:lineRule="atLeast"/>
              <w:ind w:left="0" w:right="0"/>
              <w:jc w:val="center"/>
            </w:pPr>
          </w:p>
          <w:p w14:paraId="21DAF7C4">
            <w:pPr>
              <w:pStyle w:val="44"/>
              <w:keepNext w:val="0"/>
              <w:keepLines w:val="0"/>
              <w:suppressLineNumbers w:val="0"/>
              <w:spacing w:before="0" w:beforeAutospacing="0" w:after="0" w:afterAutospacing="0"/>
              <w:ind w:left="0" w:right="0"/>
            </w:pPr>
            <w:r>
              <w:rPr>
                <w:sz w:val="21"/>
              </w:rPr>
              <w:pict>
                <v:group id="_x0000_s2061" o:spid="_x0000_s2061" o:spt="203" style="position:absolute;left:0pt;margin-left:24.7pt;margin-top:245.05pt;height:34.4pt;width:136pt;z-index:251671552;mso-width-relative:page;mso-height-relative:page;" coordorigin="9245,1433393" coordsize="2720,688203203" o:gfxdata="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d0pCq2gAAAAoBAAAPAAAAAAAAAAEAIAAAACIAAABk&#10;cnMvZG93bnJldi54bWxQSwECFAAUAAAACACHTuJAojej+swDAAC/DQAADgAAAAAAAAABACAAAAAp&#10;AQAAZHJzL2Uyb0RvYy54bWxQSwUGAAAAAAYABgBZAQAAZwcAAAAA&#10;">
                  <o:lock v:ext="edit"/>
                  <v:shape id="_x0000_s2067" o:spid="_x0000_s2067" o:spt="3" type="#_x0000_t3" style="position:absolute;left:10480;top:1433631;height:113;width:100;" fillcolor="#000000" filled="t" coordsize="21600,21600" o:gfxdata="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Gz6LsAAADb&#10;AAAADwAAAAAAAAABACAAAAAiAAAAZHJzL2Rvd25yZXYueG1sUEsBAhQAFAAAAAgAh07iQDMvBZ47&#10;AAAAOQAAABAAAAAAAAAAAQAgAAAACgEAAGRycy9zaGFwZXhtbC54bWxQSwUGAAAAAAYABgBbAQAA&#10;tAMAAAAA&#10;">
                    <v:path/>
                    <v:fill on="t" focussize="0,0"/>
                    <v:stroke/>
                    <v:imagedata o:title=""/>
                    <o:lock v:ext="edit"/>
                  </v:shape>
                  <v:group id="_x0000_s2062" o:spid="_x0000_s2062" o:spt="203" style="position:absolute;left:9245;top:1433393;height:688;width:2721;" coordorigin="9245,1433393" coordsize="2721,68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v:shape id="_x0000_s2066" o:spid="_x0000_s2066" o:spt="202" type="#_x0000_t202" style="position:absolute;left:10210;top:1433745;height:336;width:1001;"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14:paraId="2BD50C9E">
                            <w:pPr>
                              <w:snapToGrid w:val="0"/>
                              <w:rPr>
                                <w:sz w:val="16"/>
                              </w:rPr>
                            </w:pPr>
                            <w:r>
                              <w:rPr>
                                <w:sz w:val="16"/>
                              </w:rPr>
                              <w:t>(0</w:t>
                            </w:r>
                            <w:r>
                              <w:rPr>
                                <w:rFonts w:hint="eastAsia"/>
                                <w:sz w:val="16"/>
                              </w:rPr>
                              <w:t>，</w:t>
                            </w:r>
                            <w:r>
                              <w:rPr>
                                <w:sz w:val="16"/>
                              </w:rPr>
                              <w:t>0)</w:t>
                            </w:r>
                          </w:p>
                        </w:txbxContent>
                      </v:textbox>
                    </v:shape>
                    <v:shape id="_x0000_s2065" o:spid="_x0000_s2065" o:spt="32" type="#_x0000_t32" style="position:absolute;left:9245;top:1433681;flip:x;height:12;width:1120;" filled="f" coordsize="21600,21600" o:gfxdata="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lylugAAANsA&#10;AAAPAAAAAAAAAAEAIAAAACIAAABkcnMvZG93bnJldi54bWxQSwECFAAUAAAACACHTuJAMy8FnjsA&#10;AAA5AAAAEAAAAAAAAAABACAAAAAJAQAAZHJzL3NoYXBleG1sLnhtbFBLBQYAAAAABgAGAFsBAACz&#10;AwAAAAA=&#10;">
                      <v:path arrowok="t"/>
                      <v:fill on="f" focussize="0,0"/>
                      <v:stroke dashstyle="dash" endarrow="block"/>
                      <v:imagedata o:title=""/>
                      <o:lock v:ext="edit"/>
                    </v:shape>
                    <v:shape id="_x0000_s2064" o:spid="_x0000_s2064" o:spt="202" type="#_x0000_t202" style="position:absolute;left:10753;top:1433393;height:374;width:939;"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14:paraId="71AD1182">
                            <w:pPr>
                              <w:snapToGrid w:val="0"/>
                              <w:rPr>
                                <w:sz w:val="16"/>
                              </w:rPr>
                            </w:pPr>
                            <w:r>
                              <w:rPr>
                                <w:rFonts w:hint="eastAsia"/>
                                <w:sz w:val="16"/>
                              </w:rPr>
                              <w:t>计算路径</w:t>
                            </w:r>
                          </w:p>
                        </w:txbxContent>
                      </v:textbox>
                    </v:shape>
                    <v:shape id="_x0000_s2063" o:spid="_x0000_s2063" o:spt="32" type="#_x0000_t32" style="position:absolute;left:10666;top:1433669;flip:y;height:15;width:1300;" filled="f" coordsize="21600,21600" o:gfxdata="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8TRugAAANsA&#10;AAAPAAAAAAAAAAEAIAAAACIAAABkcnMvZG93bnJldi54bWxQSwECFAAUAAAACACHTuJAMy8FnjsA&#10;AAA5AAAAEAAAAAAAAAABACAAAAAJAQAAZHJzL3NoYXBleG1sLnhtbFBLBQYAAAAABgAGAFsBAACz&#10;AwAAAAA=&#10;">
                      <v:path arrowok="t"/>
                      <v:fill on="f" focussize="0,0"/>
                      <v:stroke dashstyle="dash" endarrow="block"/>
                      <v:imagedata o:title=""/>
                      <o:lock v:ext="edit"/>
                    </v:shape>
                  </v:group>
                </v:group>
              </w:pict>
            </w:r>
            <w:r>
              <w:rPr>
                <w:sz w:val="21"/>
              </w:rPr>
              <w:pict>
                <v:group id="_x0000_s2056" o:spid="_x0000_s2056" o:spt="203" style="position:absolute;left:0pt;margin-left:30.7pt;margin-top:163.05pt;height:34.4pt;width:136.05pt;z-index:251675648;mso-width-relative:page;mso-height-relative:page;" coordorigin="9245,1433393" coordsize="2721,688203203" o:gfxdata="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dImLq2gAAAAoBAAAPAAAAAAAAAAEAIAAAACIAAABkcnMvZG93bnJl&#10;di54bWxQSwECFAAUAAAACACHTuJAX4yLDFEDAABGCgAADgAAAAAAAAABACAAAAApAQAAZHJzL2Uy&#10;b0RvYy54bWxQSwUGAAAAAAYABgBZAQAA7AYAAAAA&#10;">
                  <o:lock v:ext="edit"/>
                  <v:shape id="_x0000_s2060" o:spid="_x0000_s2060" o:spt="202" type="#_x0000_t202" style="position:absolute;left:10210;top:1433745;height:336;width:1001;"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14:paraId="08647C4C">
                          <w:pPr>
                            <w:snapToGrid w:val="0"/>
                            <w:rPr>
                              <w:sz w:val="16"/>
                            </w:rPr>
                          </w:pPr>
                          <w:r>
                            <w:rPr>
                              <w:sz w:val="16"/>
                            </w:rPr>
                            <w:t>(0</w:t>
                          </w:r>
                          <w:r>
                            <w:rPr>
                              <w:rFonts w:hint="eastAsia"/>
                              <w:sz w:val="16"/>
                            </w:rPr>
                            <w:t>，</w:t>
                          </w:r>
                          <w:r>
                            <w:rPr>
                              <w:sz w:val="16"/>
                            </w:rPr>
                            <w:t>0)</w:t>
                          </w:r>
                        </w:p>
                      </w:txbxContent>
                    </v:textbox>
                  </v:shape>
                  <v:shape id="直接箭头连接符 44" o:spid="_x0000_s2059" o:spt="32" type="#_x0000_t32" style="position:absolute;left:9245;top:1433681;flip:x;height:12;width:1120;" filled="f" coordsize="21600,21600" o:gfxdata="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pSDLsAAADb&#10;AAAADwAAAAAAAAABACAAAAAiAAAAZHJzL2Rvd25yZXYueG1sUEsBAhQAFAAAAAgAh07iQDMvBZ47&#10;AAAAOQAAABAAAAAAAAAAAQAgAAAACgEAAGRycy9zaGFwZXhtbC54bWxQSwUGAAAAAAYABgBbAQAA&#10;tAMAAAAA&#10;">
                    <v:path arrowok="t"/>
                    <v:fill on="f" focussize="0,0"/>
                    <v:stroke dashstyle="dash" endarrow="block"/>
                    <v:imagedata o:title=""/>
                    <o:lock v:ext="edit"/>
                  </v:shape>
                  <v:shape id="文本框 42" o:spid="_x0000_s2058" o:spt="202" type="#_x0000_t202" style="position:absolute;left:10753;top:1433393;height:374;width:939;"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14:paraId="41272433">
                          <w:pPr>
                            <w:snapToGrid w:val="0"/>
                            <w:rPr>
                              <w:sz w:val="16"/>
                            </w:rPr>
                          </w:pPr>
                          <w:r>
                            <w:rPr>
                              <w:rFonts w:hint="eastAsia"/>
                              <w:sz w:val="16"/>
                            </w:rPr>
                            <w:t>计算路径</w:t>
                          </w:r>
                        </w:p>
                      </w:txbxContent>
                    </v:textbox>
                  </v:shape>
                  <v:shape id="直接箭头连接符 43" o:spid="_x0000_s2057" o:spt="32" type="#_x0000_t32" style="position:absolute;left:10666;top:1433669;flip:y;height:15;width:1300;" filled="f" coordsize="21600,21600" o:gfxdata="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2/jugAAANsA&#10;AAAPAAAAAAAAAAEAIAAAACIAAABkcnMvZG93bnJldi54bWxQSwECFAAUAAAACACHTuJAMy8FnjsA&#10;AAA5AAAAEAAAAAAAAAABACAAAAAJAQAAZHJzL3NoYXBleG1sLnhtbFBLBQYAAAAABgAGAFsBAACz&#10;AwAAAAA=&#10;">
                    <v:path arrowok="t"/>
                    <v:fill on="f" focussize="0,0"/>
                    <v:stroke dashstyle="dash" endarrow="block"/>
                    <v:imagedata o:title=""/>
                    <o:lock v:ext="edit"/>
                  </v:shape>
                </v:group>
              </w:pict>
            </w:r>
            <w:r>
              <w:pict>
                <v:shape id="_x0000_s2055" o:spid="_x0000_s2055" o:spt="202" type="#_x0000_t202" style="position:absolute;left:0pt;margin-left:140.95pt;margin-top:190.65pt;height:17.2pt;width:18.6pt;z-index:251670528;mso-width-relative:page;mso-height-relative:page;" filled="f" stroked="f" coordsize="21600,21600" o:gfxdata="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HhP9gA&#10;AAALAQAADwAAAAAAAAABACAAAAAiAAAAZHJzL2Rvd25yZXYueG1sUEsBAhQAFAAAAAgAh07iQCsf&#10;fFetAQAATwMAAA4AAAAAAAAAAQAgAAAAJwEAAGRycy9lMm9Eb2MueG1sUEsFBgAAAAAGAAYAWQEA&#10;AEYFAAAAAA==&#10;">
                  <v:path/>
                  <v:fill on="f" focussize="0,0"/>
                  <v:stroke on="f" joinstyle="miter"/>
                  <v:imagedata o:title=""/>
                  <o:lock v:ext="edit"/>
                  <v:textbox>
                    <w:txbxContent>
                      <w:p w14:paraId="15FAC570">
                        <w:pPr>
                          <w:spacing w:line="240" w:lineRule="exact"/>
                          <w:rPr>
                            <w:rFonts w:ascii="宋体" w:hAnsi="宋体"/>
                            <w:b/>
                            <w:color w:val="FF0000"/>
                            <w:szCs w:val="21"/>
                          </w:rPr>
                        </w:pPr>
                        <w:r>
                          <w:rPr>
                            <w:rFonts w:hint="eastAsia" w:ascii="宋体" w:hAnsi="宋体"/>
                            <w:b/>
                            <w:color w:val="FF0000"/>
                            <w:szCs w:val="21"/>
                          </w:rPr>
                          <w:t>C</w:t>
                        </w:r>
                      </w:p>
                    </w:txbxContent>
                  </v:textbox>
                </v:shape>
              </w:pict>
            </w:r>
            <w:r>
              <w:pict>
                <v:shape id="_x0000_s2054" o:spid="_x0000_s2054" o:spt="202" type="#_x0000_t202" style="position:absolute;left:0pt;margin-left:8.85pt;margin-top:192.15pt;height:17.2pt;width:35.5pt;z-index:251672576;mso-width-relative:page;mso-height-relative:page;" filled="f" stroked="f" coordsize="21600,21600" o:gfxdata="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9S+i1gAA&#10;AAkBAAAPAAAAAAAAAAEAIAAAACIAAABkcnMvZG93bnJldi54bWxQSwECFAAUAAAACACHTuJAq73F&#10;764BAABPAwAADgAAAAAAAAABACAAAAAlAQAAZHJzL2Uyb0RvYy54bWxQSwUGAAAAAAYABgBZAQAA&#10;RQUAAAAA&#10;">
                  <v:path/>
                  <v:fill on="f" focussize="0,0"/>
                  <v:stroke on="f" joinstyle="miter"/>
                  <v:imagedata o:title=""/>
                  <o:lock v:ext="edit"/>
                  <v:textbox>
                    <w:txbxContent>
                      <w:p w14:paraId="36CD3E91">
                        <w:pPr>
                          <w:spacing w:line="240" w:lineRule="exact"/>
                          <w:rPr>
                            <w:rFonts w:ascii="宋体" w:hAnsi="宋体"/>
                            <w:b/>
                            <w:color w:val="FF0000"/>
                            <w:szCs w:val="21"/>
                          </w:rPr>
                        </w:pPr>
                        <w:r>
                          <w:rPr>
                            <w:rFonts w:hint="eastAsia" w:ascii="宋体" w:hAnsi="宋体"/>
                            <w:b/>
                            <w:color w:val="FF0000"/>
                            <w:szCs w:val="21"/>
                          </w:rPr>
                          <w:t xml:space="preserve">C </w:t>
                        </w:r>
                      </w:p>
                    </w:txbxContent>
                  </v:textbox>
                </v:shape>
              </w:pict>
            </w:r>
            <w:r>
              <w:pict>
                <v:shape id="_x0000_s2053" o:spid="_x0000_s2053" o:spt="202" type="#_x0000_t202" style="position:absolute;left:0pt;margin-left:152.05pt;margin-top:133.55pt;height:17.2pt;width:18.6pt;z-index:251673600;mso-width-relative:page;mso-height-relative:page;" filled="f" stroked="f" coordsize="21600,21600" o:gfxdata="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nJLy1wAA&#10;AAsBAAAPAAAAAAAAAAEAIAAAACIAAABkcnMvZG93bnJldi54bWxQSwECFAAUAAAACACHTuJABWKY&#10;6a0BAABPAwAADgAAAAAAAAABACAAAAAmAQAAZHJzL2Uyb0RvYy54bWxQSwUGAAAAAAYABgBZAQAA&#10;RQUAAAAA&#10;">
                  <v:path/>
                  <v:fill on="f" focussize="0,0"/>
                  <v:stroke on="f" joinstyle="miter"/>
                  <v:imagedata o:title=""/>
                  <o:lock v:ext="edit"/>
                  <v:textbox>
                    <w:txbxContent>
                      <w:p w14:paraId="50787069">
                        <w:pPr>
                          <w:spacing w:line="240" w:lineRule="exact"/>
                          <w:rPr>
                            <w:rFonts w:ascii="宋体" w:hAnsi="宋体"/>
                            <w:b/>
                            <w:color w:val="FF0000"/>
                            <w:szCs w:val="21"/>
                          </w:rPr>
                        </w:pPr>
                        <w:r>
                          <w:rPr>
                            <w:rFonts w:hint="eastAsia" w:ascii="宋体" w:hAnsi="宋体"/>
                            <w:b/>
                            <w:color w:val="FF0000"/>
                            <w:szCs w:val="21"/>
                          </w:rPr>
                          <w:t>B</w:t>
                        </w:r>
                      </w:p>
                    </w:txbxContent>
                  </v:textbox>
                </v:shape>
              </w:pict>
            </w:r>
            <w:r>
              <w:pict>
                <v:shape id="_x0000_s2052" o:spid="_x0000_s2052" o:spt="202" type="#_x0000_t202" style="position:absolute;left:0pt;margin-left:0.9pt;margin-top:132.45pt;height:17.2pt;width:18.6pt;z-index:251668480;mso-width-relative:page;mso-height-relative:page;" filled="f" stroked="f" coordsize="21600,21600" o:gfxdata="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XQgPrVAAAA&#10;CAEAAA8AAAAAAAAAAQAgAAAAIgAAAGRycy9kb3ducmV2LnhtbFBLAQIUABQAAAAIAIdO4kAsyJmb&#10;rgEAAE8DAAAOAAAAAAAAAAEAIAAAACQBAABkcnMvZTJvRG9jLnhtbFBLBQYAAAAABgAGAFkBAABE&#10;BQAAAAA=&#10;">
                  <v:path/>
                  <v:fill on="f" focussize="0,0"/>
                  <v:stroke on="f" joinstyle="miter"/>
                  <v:imagedata o:title=""/>
                  <o:lock v:ext="edit"/>
                  <v:textbox>
                    <w:txbxContent>
                      <w:p w14:paraId="3F25DE60">
                        <w:pPr>
                          <w:spacing w:line="240" w:lineRule="exact"/>
                          <w:rPr>
                            <w:rFonts w:ascii="宋体" w:hAnsi="宋体"/>
                            <w:b/>
                            <w:color w:val="FF0000"/>
                            <w:szCs w:val="21"/>
                          </w:rPr>
                        </w:pPr>
                        <w:r>
                          <w:rPr>
                            <w:rFonts w:hint="eastAsia" w:ascii="宋体" w:hAnsi="宋体"/>
                            <w:b/>
                            <w:color w:val="FF0000"/>
                            <w:szCs w:val="21"/>
                          </w:rPr>
                          <w:t>B</w:t>
                        </w:r>
                      </w:p>
                    </w:txbxContent>
                  </v:textbox>
                </v:shape>
              </w:pict>
            </w:r>
            <w:r>
              <w:pict>
                <v:shape id="_x0000_s2051" o:spid="_x0000_s2051" o:spt="202" type="#_x0000_t202" style="position:absolute;left:0pt;margin-left:139.6pt;margin-top:76.9pt;height:17.2pt;width:21.85pt;z-index:251674624;mso-width-relative:page;mso-height-relative:page;" filled="f" stroked="f" coordsize="21600,21600" o:gfxdata="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ZAswtcA&#10;AAALAQAADwAAAAAAAAABACAAAAAiAAAAZHJzL2Rvd25yZXYueG1sUEsBAhQAFAAAAAgAh07iQHbc&#10;vFyuAQAATwMAAA4AAAAAAAAAAQAgAAAAJgEAAGRycy9lMm9Eb2MueG1sUEsFBgAAAAAGAAYAWQEA&#10;AEYFAAAAAA==&#10;">
                  <v:path/>
                  <v:fill on="f" focussize="0,0"/>
                  <v:stroke on="f" joinstyle="miter"/>
                  <v:imagedata o:title=""/>
                  <o:lock v:ext="edit"/>
                  <v:textbox>
                    <w:txbxContent>
                      <w:p w14:paraId="00E76A22">
                        <w:pPr>
                          <w:spacing w:line="240" w:lineRule="exact"/>
                          <w:rPr>
                            <w:rFonts w:ascii="宋体" w:hAnsi="宋体"/>
                            <w:b/>
                            <w:color w:val="FF0000"/>
                            <w:szCs w:val="21"/>
                          </w:rPr>
                        </w:pPr>
                        <w:r>
                          <w:rPr>
                            <w:rFonts w:hint="eastAsia" w:ascii="宋体" w:hAnsi="宋体"/>
                            <w:b/>
                            <w:color w:val="FF0000"/>
                            <w:szCs w:val="21"/>
                          </w:rPr>
                          <w:t>A</w:t>
                        </w:r>
                      </w:p>
                    </w:txbxContent>
                  </v:textbox>
                </v:shape>
              </w:pict>
            </w:r>
            <w:r>
              <w:pict>
                <v:shape id="_x0000_s2050" o:spid="_x0000_s2050" o:spt="202" type="#_x0000_t202" style="position:absolute;left:0pt;margin-left:17.4pt;margin-top:77.25pt;height:17.2pt;width:21.05pt;z-index:251669504;mso-width-relative:page;mso-height-relative:page;" filled="f" stroked="f" coordsize="21600,21600" o:gfxdata="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f+zNrW&#10;AAAACQEAAA8AAAAAAAAAAQAgAAAAIgAAAGRycy9kb3ducmV2LnhtbFBLAQIUABQAAAAIAIdO4kB2&#10;E6CTsAEAAE8DAAAOAAAAAAAAAAEAIAAAACUBAABkcnMvZTJvRG9jLnhtbFBLBQYAAAAABgAGAFkB&#10;AABHBQAAAAA=&#10;">
                  <v:path/>
                  <v:fill on="f" focussize="0,0"/>
                  <v:stroke on="f" joinstyle="miter"/>
                  <v:imagedata o:title=""/>
                  <o:lock v:ext="edit"/>
                  <v:textbox>
                    <w:txbxContent>
                      <w:p w14:paraId="50DA2883">
                        <w:pPr>
                          <w:spacing w:line="240" w:lineRule="exact"/>
                          <w:rPr>
                            <w:rFonts w:ascii="宋体" w:hAnsi="宋体"/>
                            <w:b/>
                            <w:color w:val="FF0000"/>
                            <w:szCs w:val="21"/>
                          </w:rPr>
                        </w:pPr>
                        <w:r>
                          <w:rPr>
                            <w:rFonts w:hint="eastAsia" w:ascii="宋体" w:hAnsi="宋体"/>
                            <w:b/>
                            <w:color w:val="FF0000"/>
                            <w:szCs w:val="21"/>
                          </w:rPr>
                          <w:t xml:space="preserve">A </w:t>
                        </w:r>
                      </w:p>
                    </w:txbxContent>
                  </v:textbox>
                </v:shape>
              </w:pict>
            </w:r>
            <w:r>
              <w:rPr>
                <w:rFonts w:hint="eastAsia"/>
              </w:rPr>
              <w:drawing>
                <wp:inline distT="0" distB="0" distL="114300" distR="114300">
                  <wp:extent cx="2195195" cy="3065780"/>
                  <wp:effectExtent l="0" t="0" r="14605" b="1270"/>
                  <wp:docPr id="49" name="图片 49" descr="双回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双回路塔"/>
                          <pic:cNvPicPr>
                            <a:picLocks noChangeAspect="1"/>
                          </pic:cNvPicPr>
                        </pic:nvPicPr>
                        <pic:blipFill>
                          <a:blip r:embed="rId81" cstate="print"/>
                          <a:stretch>
                            <a:fillRect/>
                          </a:stretch>
                        </pic:blipFill>
                        <pic:spPr>
                          <a:xfrm>
                            <a:off x="0" y="0"/>
                            <a:ext cx="2195195" cy="3065780"/>
                          </a:xfrm>
                          <a:prstGeom prst="rect">
                            <a:avLst/>
                          </a:prstGeom>
                        </pic:spPr>
                      </pic:pic>
                    </a:graphicData>
                  </a:graphic>
                </wp:inline>
              </w:drawing>
            </w:r>
          </w:p>
          <w:p w14:paraId="3CDF3E2C">
            <w:pPr>
              <w:keepNext w:val="0"/>
              <w:keepLines w:val="0"/>
              <w:suppressLineNumbers w:val="0"/>
              <w:spacing w:before="0" w:beforeAutospacing="0" w:after="0" w:afterAutospacing="0"/>
              <w:ind w:left="0" w:right="0"/>
            </w:pPr>
          </w:p>
        </w:tc>
      </w:tr>
      <w:tr w14:paraId="25B468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09F42DD8">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导线型号</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7F22EE9B">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JL3/G1A-400/35</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43F38DB2">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4F643029">
            <w:pPr>
              <w:keepNext w:val="0"/>
              <w:keepLines w:val="0"/>
              <w:widowControl/>
              <w:suppressLineNumbers w:val="0"/>
              <w:spacing w:before="0" w:beforeAutospacing="0" w:after="0" w:afterAutospacing="0"/>
              <w:ind w:left="0" w:right="0"/>
              <w:jc w:val="left"/>
              <w:rPr>
                <w:rFonts w:ascii="宋体" w:hAnsi="宋体"/>
                <w:kern w:val="0"/>
              </w:rPr>
            </w:pPr>
          </w:p>
        </w:tc>
      </w:tr>
      <w:tr w14:paraId="3E311E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3BB65802">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分裂方式</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6EAB7DEB">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szCs w:val="21"/>
              </w:rPr>
              <w:t>双分裂</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799640BE">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4F8E2F3">
            <w:pPr>
              <w:keepNext w:val="0"/>
              <w:keepLines w:val="0"/>
              <w:widowControl/>
              <w:suppressLineNumbers w:val="0"/>
              <w:spacing w:before="0" w:beforeAutospacing="0" w:after="0" w:afterAutospacing="0"/>
              <w:ind w:left="0" w:right="0"/>
              <w:jc w:val="left"/>
              <w:rPr>
                <w:rFonts w:ascii="宋体" w:hAnsi="宋体"/>
                <w:kern w:val="0"/>
              </w:rPr>
            </w:pPr>
          </w:p>
        </w:tc>
      </w:tr>
      <w:tr w14:paraId="2673EE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right w:val="single" w:color="auto" w:sz="2" w:space="0"/>
            </w:tcBorders>
            <w:vAlign w:val="center"/>
          </w:tcPr>
          <w:p w14:paraId="2B8365D1">
            <w:pPr>
              <w:keepNext w:val="0"/>
              <w:keepLines w:val="0"/>
              <w:widowControl/>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szCs w:val="21"/>
              </w:rPr>
              <w:t>分裂导线间距</w:t>
            </w:r>
          </w:p>
        </w:tc>
        <w:tc>
          <w:tcPr>
            <w:tcW w:w="2940" w:type="dxa"/>
            <w:gridSpan w:val="2"/>
            <w:tcBorders>
              <w:top w:val="single" w:color="auto" w:sz="2" w:space="0"/>
              <w:left w:val="single" w:color="auto" w:sz="2" w:space="0"/>
              <w:right w:val="single" w:color="auto" w:sz="2" w:space="0"/>
            </w:tcBorders>
            <w:vAlign w:val="center"/>
          </w:tcPr>
          <w:p w14:paraId="59ABAB39">
            <w:pPr>
              <w:keepNext w:val="0"/>
              <w:keepLines w:val="0"/>
              <w:suppressLineNumbers w:val="0"/>
              <w:spacing w:before="0" w:beforeAutospacing="0" w:after="0" w:afterAutospacing="0" w:line="240" w:lineRule="exact"/>
              <w:ind w:left="0" w:right="0"/>
              <w:jc w:val="center"/>
              <w:rPr>
                <w:rFonts w:ascii="宋体" w:hAnsi="宋体"/>
                <w:kern w:val="0"/>
                <w:szCs w:val="21"/>
              </w:rPr>
            </w:pPr>
            <w:r>
              <w:rPr>
                <w:rFonts w:hint="eastAsia"/>
                <w:kern w:val="0"/>
                <w:szCs w:val="21"/>
              </w:rPr>
              <w:t>500mm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20201CDE">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6FE38E94">
            <w:pPr>
              <w:keepNext w:val="0"/>
              <w:keepLines w:val="0"/>
              <w:widowControl/>
              <w:suppressLineNumbers w:val="0"/>
              <w:spacing w:before="0" w:beforeAutospacing="0" w:after="0" w:afterAutospacing="0"/>
              <w:ind w:left="0" w:right="0"/>
              <w:jc w:val="left"/>
              <w:rPr>
                <w:rFonts w:ascii="宋体" w:hAnsi="宋体"/>
                <w:kern w:val="0"/>
              </w:rPr>
            </w:pPr>
          </w:p>
        </w:tc>
      </w:tr>
      <w:tr w14:paraId="1137E7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0BB62E3C">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导线外径</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218DFCDD">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26.8mm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41B49E04">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4535B6EE">
            <w:pPr>
              <w:keepNext w:val="0"/>
              <w:keepLines w:val="0"/>
              <w:widowControl/>
              <w:suppressLineNumbers w:val="0"/>
              <w:spacing w:before="0" w:beforeAutospacing="0" w:after="0" w:afterAutospacing="0"/>
              <w:ind w:left="0" w:right="0"/>
              <w:jc w:val="left"/>
              <w:rPr>
                <w:rFonts w:ascii="宋体" w:hAnsi="宋体"/>
                <w:kern w:val="0"/>
              </w:rPr>
            </w:pPr>
          </w:p>
        </w:tc>
      </w:tr>
      <w:tr w14:paraId="619BF7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44915BD7">
            <w:pPr>
              <w:keepNext w:val="0"/>
              <w:keepLines w:val="0"/>
              <w:widowControl/>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bCs/>
                <w:szCs w:val="21"/>
              </w:rPr>
              <w:t>地线型式及</w:t>
            </w:r>
            <w:r>
              <w:rPr>
                <w:rFonts w:hint="eastAsia" w:ascii="宋体" w:hAnsi="宋体"/>
                <w:kern w:val="0"/>
                <w:szCs w:val="21"/>
              </w:rPr>
              <w:t>外径</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7F53B4FF">
            <w:pPr>
              <w:keepNext w:val="0"/>
              <w:keepLines w:val="0"/>
              <w:suppressLineNumbers w:val="0"/>
              <w:spacing w:before="0" w:beforeAutospacing="0" w:after="0" w:afterAutospacing="0" w:line="240" w:lineRule="exact"/>
              <w:ind w:left="0" w:right="0"/>
              <w:jc w:val="left"/>
              <w:rPr>
                <w:rFonts w:ascii="宋体" w:hAnsi="宋体"/>
                <w:szCs w:val="21"/>
              </w:rPr>
            </w:pPr>
            <w:r>
              <w:rPr>
                <w:rFonts w:hint="eastAsia" w:ascii="宋体" w:hAnsi="宋体"/>
                <w:szCs w:val="21"/>
              </w:rPr>
              <w:t>复合光缆，外径</w:t>
            </w:r>
            <w:r>
              <w:rPr>
                <w:rFonts w:hint="eastAsia"/>
                <w:kern w:val="0"/>
                <w:szCs w:val="21"/>
              </w:rPr>
              <w:t>15mm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FC25643">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5A52DAC4">
            <w:pPr>
              <w:keepNext w:val="0"/>
              <w:keepLines w:val="0"/>
              <w:widowControl/>
              <w:suppressLineNumbers w:val="0"/>
              <w:spacing w:before="0" w:beforeAutospacing="0" w:after="0" w:afterAutospacing="0"/>
              <w:ind w:left="0" w:right="0"/>
              <w:jc w:val="left"/>
              <w:rPr>
                <w:rFonts w:ascii="宋体" w:hAnsi="宋体"/>
                <w:kern w:val="0"/>
              </w:rPr>
            </w:pPr>
          </w:p>
        </w:tc>
      </w:tr>
      <w:tr w14:paraId="2144D2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4E3D9E40">
            <w:pPr>
              <w:keepNext w:val="0"/>
              <w:keepLines w:val="0"/>
              <w:widowControl/>
              <w:suppressLineNumbers w:val="0"/>
              <w:spacing w:before="0" w:beforeAutospacing="0" w:after="0" w:afterAutospacing="0" w:line="240" w:lineRule="exact"/>
              <w:ind w:left="0" w:right="0"/>
              <w:jc w:val="center"/>
              <w:rPr>
                <w:rFonts w:ascii="宋体" w:hAnsi="宋体"/>
                <w:kern w:val="0"/>
                <w:szCs w:val="21"/>
              </w:rPr>
            </w:pPr>
            <w:r>
              <w:rPr>
                <w:rFonts w:hint="eastAsia" w:ascii="宋体" w:hAnsi="宋体"/>
                <w:bCs/>
                <w:szCs w:val="21"/>
              </w:rPr>
              <w:t>输送功率</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74E6AAF4">
            <w:pPr>
              <w:keepNext w:val="0"/>
              <w:keepLines w:val="0"/>
              <w:widowControl/>
              <w:suppressLineNumbers w:val="0"/>
              <w:spacing w:before="0" w:beforeAutospacing="0" w:after="0" w:afterAutospacing="0" w:line="0" w:lineRule="atLeast"/>
              <w:ind w:left="0" w:right="0"/>
              <w:jc w:val="center"/>
              <w:rPr>
                <w:rFonts w:ascii="宋体" w:hAnsi="宋体"/>
                <w:szCs w:val="21"/>
              </w:rPr>
            </w:pPr>
            <w:r>
              <w:rPr>
                <w:rFonts w:hint="eastAsia"/>
                <w:kern w:val="0"/>
                <w:szCs w:val="21"/>
              </w:rPr>
              <w:t>480MW</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1E4656E5">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3C7551D">
            <w:pPr>
              <w:keepNext w:val="0"/>
              <w:keepLines w:val="0"/>
              <w:widowControl/>
              <w:suppressLineNumbers w:val="0"/>
              <w:spacing w:before="0" w:beforeAutospacing="0" w:after="0" w:afterAutospacing="0"/>
              <w:ind w:left="0" w:right="0"/>
              <w:jc w:val="left"/>
              <w:rPr>
                <w:rFonts w:ascii="宋体" w:hAnsi="宋体"/>
                <w:kern w:val="0"/>
              </w:rPr>
            </w:pPr>
          </w:p>
        </w:tc>
      </w:tr>
      <w:tr w14:paraId="3EB262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right w:val="single" w:color="auto" w:sz="2" w:space="0"/>
            </w:tcBorders>
            <w:vAlign w:val="center"/>
          </w:tcPr>
          <w:p w14:paraId="0F54521B">
            <w:pPr>
              <w:keepNext w:val="0"/>
              <w:keepLines w:val="0"/>
              <w:widowControl/>
              <w:suppressLineNumbers w:val="0"/>
              <w:spacing w:before="0" w:beforeAutospacing="0" w:after="0" w:afterAutospacing="0" w:line="240" w:lineRule="exact"/>
              <w:ind w:left="0" w:right="0"/>
              <w:jc w:val="center"/>
              <w:rPr>
                <w:rFonts w:ascii="宋体" w:hAnsi="宋体"/>
                <w:bCs/>
                <w:szCs w:val="21"/>
              </w:rPr>
            </w:pPr>
            <w:r>
              <w:rPr>
                <w:rFonts w:hint="eastAsia" w:ascii="宋体" w:hAnsi="宋体"/>
                <w:bCs/>
                <w:szCs w:val="21"/>
              </w:rPr>
              <w:t>预测电压</w:t>
            </w:r>
          </w:p>
        </w:tc>
        <w:tc>
          <w:tcPr>
            <w:tcW w:w="2940" w:type="dxa"/>
            <w:gridSpan w:val="2"/>
            <w:tcBorders>
              <w:top w:val="single" w:color="auto" w:sz="2" w:space="0"/>
              <w:left w:val="single" w:color="auto" w:sz="2" w:space="0"/>
              <w:right w:val="single" w:color="auto" w:sz="2" w:space="0"/>
            </w:tcBorders>
            <w:vAlign w:val="center"/>
          </w:tcPr>
          <w:p w14:paraId="5C030C0B">
            <w:pPr>
              <w:keepNext w:val="0"/>
              <w:keepLines w:val="0"/>
              <w:suppressLineNumbers w:val="0"/>
              <w:spacing w:before="0" w:beforeAutospacing="0" w:after="0" w:afterAutospacing="0" w:line="240" w:lineRule="exact"/>
              <w:ind w:left="0" w:right="0"/>
              <w:jc w:val="center"/>
              <w:rPr>
                <w:rFonts w:ascii="宋体" w:hAnsi="宋体"/>
                <w:szCs w:val="21"/>
              </w:rPr>
            </w:pPr>
            <w:r>
              <w:rPr>
                <w:rFonts w:hint="eastAsia"/>
                <w:kern w:val="0"/>
                <w:szCs w:val="21"/>
              </w:rPr>
              <w:t>231kV</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9148B9D">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179AB3A3">
            <w:pPr>
              <w:keepNext w:val="0"/>
              <w:keepLines w:val="0"/>
              <w:widowControl/>
              <w:suppressLineNumbers w:val="0"/>
              <w:spacing w:before="0" w:beforeAutospacing="0" w:after="0" w:afterAutospacing="0"/>
              <w:ind w:left="0" w:right="0"/>
              <w:jc w:val="left"/>
              <w:rPr>
                <w:rFonts w:ascii="宋体" w:hAnsi="宋体"/>
                <w:kern w:val="0"/>
              </w:rPr>
            </w:pPr>
          </w:p>
        </w:tc>
      </w:tr>
      <w:tr w14:paraId="5D99FE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vMerge w:val="restart"/>
            <w:tcBorders>
              <w:top w:val="single" w:color="auto" w:sz="2" w:space="0"/>
              <w:left w:val="single" w:color="auto" w:sz="12" w:space="0"/>
              <w:bottom w:val="single" w:color="auto" w:sz="2" w:space="0"/>
              <w:right w:val="single" w:color="auto" w:sz="2" w:space="0"/>
            </w:tcBorders>
            <w:vAlign w:val="center"/>
          </w:tcPr>
          <w:p w14:paraId="46F7656E">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导线垂直间距</w:t>
            </w:r>
          </w:p>
        </w:tc>
        <w:tc>
          <w:tcPr>
            <w:tcW w:w="1155" w:type="dxa"/>
            <w:tcBorders>
              <w:top w:val="single" w:color="auto" w:sz="2" w:space="0"/>
              <w:left w:val="single" w:color="auto" w:sz="2" w:space="0"/>
              <w:bottom w:val="single" w:color="auto" w:sz="4" w:space="0"/>
              <w:right w:val="single" w:color="auto" w:sz="2" w:space="0"/>
            </w:tcBorders>
            <w:vAlign w:val="center"/>
          </w:tcPr>
          <w:p w14:paraId="19229EF6">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w:t>
            </w:r>
          </w:p>
        </w:tc>
        <w:tc>
          <w:tcPr>
            <w:tcW w:w="1785" w:type="dxa"/>
            <w:tcBorders>
              <w:top w:val="single" w:color="auto" w:sz="2" w:space="0"/>
              <w:left w:val="single" w:color="auto" w:sz="2" w:space="0"/>
              <w:bottom w:val="single" w:color="auto" w:sz="4" w:space="0"/>
              <w:right w:val="single" w:color="auto" w:sz="2" w:space="0"/>
            </w:tcBorders>
            <w:vAlign w:val="center"/>
          </w:tcPr>
          <w:p w14:paraId="332FEE5B">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同相序</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5C662F5">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0DCCAD35">
            <w:pPr>
              <w:keepNext w:val="0"/>
              <w:keepLines w:val="0"/>
              <w:widowControl/>
              <w:suppressLineNumbers w:val="0"/>
              <w:spacing w:before="0" w:beforeAutospacing="0" w:after="0" w:afterAutospacing="0"/>
              <w:ind w:left="0" w:right="0"/>
              <w:jc w:val="left"/>
              <w:rPr>
                <w:rFonts w:ascii="宋体" w:hAnsi="宋体"/>
                <w:kern w:val="0"/>
              </w:rPr>
            </w:pPr>
          </w:p>
        </w:tc>
      </w:tr>
      <w:tr w14:paraId="50476E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vMerge w:val="continue"/>
            <w:tcBorders>
              <w:top w:val="single" w:color="auto" w:sz="2" w:space="0"/>
              <w:left w:val="single" w:color="auto" w:sz="12" w:space="0"/>
              <w:bottom w:val="single" w:color="auto" w:sz="2" w:space="0"/>
              <w:right w:val="single" w:color="auto" w:sz="2" w:space="0"/>
            </w:tcBorders>
            <w:vAlign w:val="center"/>
          </w:tcPr>
          <w:p w14:paraId="4648A9FF">
            <w:pPr>
              <w:keepNext w:val="0"/>
              <w:keepLines w:val="0"/>
              <w:widowControl/>
              <w:suppressLineNumbers w:val="0"/>
              <w:spacing w:before="0" w:beforeAutospacing="0" w:after="0" w:afterAutospacing="0"/>
              <w:ind w:left="0" w:right="0"/>
              <w:jc w:val="left"/>
              <w:rPr>
                <w:rFonts w:ascii="宋体" w:hAnsi="宋体"/>
                <w:kern w:val="0"/>
                <w:szCs w:val="21"/>
              </w:rPr>
            </w:pPr>
          </w:p>
        </w:tc>
        <w:tc>
          <w:tcPr>
            <w:tcW w:w="1155" w:type="dxa"/>
            <w:tcBorders>
              <w:top w:val="single" w:color="auto" w:sz="4" w:space="0"/>
              <w:left w:val="single" w:color="auto" w:sz="2" w:space="0"/>
              <w:bottom w:val="single" w:color="auto" w:sz="2" w:space="0"/>
              <w:right w:val="single" w:color="auto" w:sz="2" w:space="0"/>
            </w:tcBorders>
            <w:vAlign w:val="center"/>
          </w:tcPr>
          <w:p w14:paraId="3F6982BB">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A相-B相</w:t>
            </w:r>
          </w:p>
          <w:p w14:paraId="12095E6E">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C相-B相</w:t>
            </w:r>
          </w:p>
          <w:p w14:paraId="4721A452">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A相-C相</w:t>
            </w:r>
          </w:p>
        </w:tc>
        <w:tc>
          <w:tcPr>
            <w:tcW w:w="1785" w:type="dxa"/>
            <w:tcBorders>
              <w:top w:val="single" w:color="auto" w:sz="4" w:space="0"/>
              <w:left w:val="single" w:color="auto" w:sz="2" w:space="0"/>
              <w:bottom w:val="single" w:color="auto" w:sz="2" w:space="0"/>
              <w:right w:val="single" w:color="auto" w:sz="2" w:space="0"/>
            </w:tcBorders>
            <w:vAlign w:val="center"/>
          </w:tcPr>
          <w:p w14:paraId="781C4527">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6.9m</w:t>
            </w:r>
          </w:p>
          <w:p w14:paraId="0C96736C">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6.3m</w:t>
            </w:r>
          </w:p>
          <w:p w14:paraId="7231F08A">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13.2m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72F76D68">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22D253E2">
            <w:pPr>
              <w:keepNext w:val="0"/>
              <w:keepLines w:val="0"/>
              <w:widowControl/>
              <w:suppressLineNumbers w:val="0"/>
              <w:spacing w:before="0" w:beforeAutospacing="0" w:after="0" w:afterAutospacing="0"/>
              <w:ind w:left="0" w:right="0"/>
              <w:jc w:val="left"/>
              <w:rPr>
                <w:rFonts w:ascii="宋体" w:hAnsi="宋体"/>
                <w:kern w:val="0"/>
              </w:rPr>
            </w:pPr>
          </w:p>
        </w:tc>
      </w:tr>
      <w:tr w14:paraId="7E8512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55530EAD">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5A6BE356">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同相序</w:t>
            </w:r>
          </w:p>
          <w:p w14:paraId="6D9BED08">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(上中下：</w:t>
            </w:r>
            <w:r>
              <w:rPr>
                <w:rFonts w:hint="eastAsia"/>
                <w:kern w:val="0"/>
                <w:szCs w:val="21"/>
              </w:rPr>
              <w:t>A-B-C</w:t>
            </w:r>
            <w:r>
              <w:rPr>
                <w:rFonts w:hint="eastAsia" w:ascii="宋体" w:hAnsi="宋体"/>
                <w:kern w:val="0"/>
                <w:szCs w:val="21"/>
              </w:rPr>
              <w:t>；</w:t>
            </w:r>
            <w:r>
              <w:rPr>
                <w:rFonts w:hint="eastAsia"/>
                <w:kern w:val="0"/>
                <w:szCs w:val="21"/>
              </w:rPr>
              <w:t>A-B-C</w:t>
            </w:r>
            <w:r>
              <w:rPr>
                <w:rFonts w:hint="eastAsia" w:ascii="宋体" w:hAnsi="宋体"/>
                <w:kern w:val="0"/>
                <w:szCs w:val="21"/>
              </w:rPr>
              <w:t>)</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779B7CB5">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7B95AEB9">
            <w:pPr>
              <w:keepNext w:val="0"/>
              <w:keepLines w:val="0"/>
              <w:widowControl/>
              <w:suppressLineNumbers w:val="0"/>
              <w:spacing w:before="0" w:beforeAutospacing="0" w:after="0" w:afterAutospacing="0"/>
              <w:ind w:left="0" w:right="0"/>
              <w:jc w:val="left"/>
              <w:rPr>
                <w:rFonts w:ascii="宋体" w:hAnsi="宋体"/>
                <w:kern w:val="0"/>
              </w:rPr>
            </w:pPr>
          </w:p>
        </w:tc>
      </w:tr>
      <w:tr w14:paraId="5CBCE2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vMerge w:val="restart"/>
            <w:tcBorders>
              <w:top w:val="single" w:color="auto" w:sz="2" w:space="0"/>
              <w:left w:val="single" w:color="auto" w:sz="12" w:space="0"/>
              <w:bottom w:val="single" w:color="auto" w:sz="2" w:space="0"/>
              <w:right w:val="single" w:color="auto" w:sz="2" w:space="0"/>
            </w:tcBorders>
            <w:vAlign w:val="center"/>
          </w:tcPr>
          <w:p w14:paraId="612A2A12">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导线水平间距</w:t>
            </w:r>
          </w:p>
        </w:tc>
        <w:tc>
          <w:tcPr>
            <w:tcW w:w="1155" w:type="dxa"/>
            <w:tcBorders>
              <w:top w:val="single" w:color="auto" w:sz="2" w:space="0"/>
              <w:left w:val="single" w:color="auto" w:sz="2" w:space="0"/>
              <w:bottom w:val="single" w:color="auto" w:sz="4" w:space="0"/>
              <w:right w:val="single" w:color="auto" w:sz="2" w:space="0"/>
            </w:tcBorders>
            <w:vAlign w:val="center"/>
          </w:tcPr>
          <w:p w14:paraId="3E67D327">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相序</w:t>
            </w:r>
          </w:p>
        </w:tc>
        <w:tc>
          <w:tcPr>
            <w:tcW w:w="1785" w:type="dxa"/>
            <w:tcBorders>
              <w:top w:val="single" w:color="auto" w:sz="2" w:space="0"/>
              <w:left w:val="single" w:color="auto" w:sz="2" w:space="0"/>
              <w:bottom w:val="single" w:color="auto" w:sz="4" w:space="0"/>
              <w:right w:val="single" w:color="auto" w:sz="2" w:space="0"/>
            </w:tcBorders>
            <w:vAlign w:val="center"/>
          </w:tcPr>
          <w:p w14:paraId="1209B8AD">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同相序</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51E31FDD">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1EB07ACC">
            <w:pPr>
              <w:keepNext w:val="0"/>
              <w:keepLines w:val="0"/>
              <w:widowControl/>
              <w:suppressLineNumbers w:val="0"/>
              <w:spacing w:before="0" w:beforeAutospacing="0" w:after="0" w:afterAutospacing="0"/>
              <w:ind w:left="0" w:right="0"/>
              <w:jc w:val="left"/>
              <w:rPr>
                <w:rFonts w:ascii="宋体" w:hAnsi="宋体"/>
                <w:kern w:val="0"/>
              </w:rPr>
            </w:pPr>
          </w:p>
        </w:tc>
      </w:tr>
      <w:tr w14:paraId="2D1036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vMerge w:val="continue"/>
            <w:tcBorders>
              <w:top w:val="single" w:color="auto" w:sz="2" w:space="0"/>
              <w:left w:val="single" w:color="auto" w:sz="12" w:space="0"/>
              <w:bottom w:val="single" w:color="auto" w:sz="2" w:space="0"/>
              <w:right w:val="single" w:color="auto" w:sz="2" w:space="0"/>
            </w:tcBorders>
            <w:vAlign w:val="center"/>
          </w:tcPr>
          <w:p w14:paraId="4DEE4CDD">
            <w:pPr>
              <w:keepNext w:val="0"/>
              <w:keepLines w:val="0"/>
              <w:widowControl/>
              <w:suppressLineNumbers w:val="0"/>
              <w:spacing w:before="0" w:beforeAutospacing="0" w:after="0" w:afterAutospacing="0"/>
              <w:ind w:left="0" w:right="0"/>
              <w:jc w:val="left"/>
              <w:rPr>
                <w:rFonts w:ascii="宋体" w:hAnsi="宋体"/>
                <w:kern w:val="0"/>
                <w:szCs w:val="21"/>
              </w:rPr>
            </w:pPr>
          </w:p>
        </w:tc>
        <w:tc>
          <w:tcPr>
            <w:tcW w:w="1155" w:type="dxa"/>
            <w:tcBorders>
              <w:top w:val="single" w:color="auto" w:sz="4" w:space="0"/>
              <w:left w:val="single" w:color="auto" w:sz="2" w:space="0"/>
              <w:bottom w:val="single" w:color="auto" w:sz="2" w:space="0"/>
              <w:right w:val="single" w:color="auto" w:sz="2" w:space="0"/>
            </w:tcBorders>
            <w:vAlign w:val="center"/>
          </w:tcPr>
          <w:p w14:paraId="188E6358">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w:t>
            </w:r>
            <w:r>
              <w:rPr>
                <w:rFonts w:hint="eastAsia" w:ascii="宋体" w:hAnsi="宋体"/>
                <w:kern w:val="0"/>
                <w:szCs w:val="21"/>
              </w:rPr>
              <w:t>相</w:t>
            </w:r>
            <w:r>
              <w:rPr>
                <w:rFonts w:hint="eastAsia"/>
                <w:kern w:val="0"/>
                <w:szCs w:val="21"/>
              </w:rPr>
              <w:t>-B</w:t>
            </w:r>
            <w:r>
              <w:rPr>
                <w:rFonts w:hint="eastAsia" w:ascii="宋体" w:hAnsi="宋体"/>
                <w:kern w:val="0"/>
                <w:szCs w:val="21"/>
              </w:rPr>
              <w:t>相</w:t>
            </w:r>
          </w:p>
          <w:p w14:paraId="6EA45028">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C</w:t>
            </w:r>
            <w:r>
              <w:rPr>
                <w:rFonts w:hint="eastAsia" w:ascii="宋体" w:hAnsi="宋体"/>
                <w:kern w:val="0"/>
                <w:szCs w:val="21"/>
              </w:rPr>
              <w:t>相</w:t>
            </w:r>
            <w:r>
              <w:rPr>
                <w:rFonts w:hint="eastAsia"/>
                <w:kern w:val="0"/>
                <w:szCs w:val="21"/>
              </w:rPr>
              <w:t>-B</w:t>
            </w:r>
            <w:r>
              <w:rPr>
                <w:rFonts w:hint="eastAsia" w:ascii="宋体" w:hAnsi="宋体"/>
                <w:kern w:val="0"/>
                <w:szCs w:val="21"/>
              </w:rPr>
              <w:t>相</w:t>
            </w:r>
          </w:p>
          <w:p w14:paraId="3EEEAED7">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A</w:t>
            </w:r>
            <w:r>
              <w:rPr>
                <w:rFonts w:hint="eastAsia" w:ascii="宋体" w:hAnsi="宋体"/>
                <w:kern w:val="0"/>
                <w:szCs w:val="21"/>
              </w:rPr>
              <w:t>相</w:t>
            </w:r>
            <w:r>
              <w:rPr>
                <w:rFonts w:hint="eastAsia"/>
                <w:kern w:val="0"/>
                <w:szCs w:val="21"/>
              </w:rPr>
              <w:t>-C</w:t>
            </w:r>
            <w:r>
              <w:rPr>
                <w:rFonts w:hint="eastAsia" w:ascii="宋体" w:hAnsi="宋体"/>
                <w:kern w:val="0"/>
                <w:szCs w:val="21"/>
              </w:rPr>
              <w:t>相</w:t>
            </w:r>
          </w:p>
        </w:tc>
        <w:tc>
          <w:tcPr>
            <w:tcW w:w="1785" w:type="dxa"/>
            <w:tcBorders>
              <w:top w:val="single" w:color="auto" w:sz="4" w:space="0"/>
              <w:left w:val="single" w:color="auto" w:sz="2" w:space="0"/>
              <w:bottom w:val="single" w:color="auto" w:sz="2" w:space="0"/>
              <w:right w:val="single" w:color="auto" w:sz="2" w:space="0"/>
            </w:tcBorders>
            <w:vAlign w:val="center"/>
          </w:tcPr>
          <w:p w14:paraId="3EF53F62">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1.8m</w:t>
            </w:r>
          </w:p>
          <w:p w14:paraId="7828122E">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1.0m</w:t>
            </w:r>
          </w:p>
          <w:p w14:paraId="08EFC677">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0.8m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21AD0F8">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3736E66D">
            <w:pPr>
              <w:keepNext w:val="0"/>
              <w:keepLines w:val="0"/>
              <w:widowControl/>
              <w:suppressLineNumbers w:val="0"/>
              <w:spacing w:before="0" w:beforeAutospacing="0" w:after="0" w:afterAutospacing="0"/>
              <w:ind w:left="0" w:right="0"/>
              <w:jc w:val="left"/>
              <w:rPr>
                <w:rFonts w:ascii="宋体" w:hAnsi="宋体"/>
                <w:kern w:val="0"/>
              </w:rPr>
            </w:pPr>
          </w:p>
        </w:tc>
      </w:tr>
      <w:tr w14:paraId="249B7A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2" w:space="0"/>
              <w:right w:val="single" w:color="auto" w:sz="2" w:space="0"/>
            </w:tcBorders>
            <w:vAlign w:val="center"/>
          </w:tcPr>
          <w:p w14:paraId="44F9CB69">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导线-地线</w:t>
            </w:r>
          </w:p>
          <w:p w14:paraId="58F42FE4">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垂直间距</w:t>
            </w:r>
          </w:p>
        </w:tc>
        <w:tc>
          <w:tcPr>
            <w:tcW w:w="2940" w:type="dxa"/>
            <w:gridSpan w:val="2"/>
            <w:tcBorders>
              <w:top w:val="single" w:color="auto" w:sz="2" w:space="0"/>
              <w:left w:val="single" w:color="auto" w:sz="2" w:space="0"/>
              <w:bottom w:val="single" w:color="auto" w:sz="2" w:space="0"/>
              <w:right w:val="single" w:color="auto" w:sz="2" w:space="0"/>
            </w:tcBorders>
            <w:vAlign w:val="center"/>
          </w:tcPr>
          <w:p w14:paraId="162D751D">
            <w:pPr>
              <w:keepNext w:val="0"/>
              <w:keepLines w:val="0"/>
              <w:suppressLineNumbers w:val="0"/>
              <w:spacing w:before="0" w:beforeAutospacing="0" w:after="0" w:afterAutospacing="0" w:line="0" w:lineRule="atLeast"/>
              <w:ind w:left="0" w:right="0"/>
              <w:jc w:val="center"/>
              <w:rPr>
                <w:kern w:val="0"/>
                <w:szCs w:val="21"/>
              </w:rPr>
            </w:pPr>
            <w:r>
              <w:rPr>
                <w:rFonts w:hint="eastAsia"/>
                <w:kern w:val="0"/>
                <w:szCs w:val="21"/>
              </w:rPr>
              <w:t>4.5m</w:t>
            </w:r>
          </w:p>
          <w:p w14:paraId="44C1D49B">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(相对最近相，考虑绝缘子串)</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10DB70E2">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67B3A815">
            <w:pPr>
              <w:keepNext w:val="0"/>
              <w:keepLines w:val="0"/>
              <w:widowControl/>
              <w:suppressLineNumbers w:val="0"/>
              <w:spacing w:before="0" w:beforeAutospacing="0" w:after="0" w:afterAutospacing="0"/>
              <w:ind w:left="0" w:right="0"/>
              <w:jc w:val="left"/>
              <w:rPr>
                <w:rFonts w:ascii="宋体" w:hAnsi="宋体"/>
                <w:kern w:val="0"/>
              </w:rPr>
            </w:pPr>
          </w:p>
        </w:tc>
      </w:tr>
      <w:tr w14:paraId="246BEF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22" w:type="dxa"/>
            <w:tcBorders>
              <w:top w:val="single" w:color="auto" w:sz="2" w:space="0"/>
              <w:left w:val="single" w:color="auto" w:sz="12" w:space="0"/>
              <w:bottom w:val="single" w:color="auto" w:sz="12" w:space="0"/>
              <w:right w:val="single" w:color="auto" w:sz="2" w:space="0"/>
            </w:tcBorders>
            <w:vAlign w:val="center"/>
          </w:tcPr>
          <w:p w14:paraId="51920CB1">
            <w:pPr>
              <w:keepNext w:val="0"/>
              <w:keepLines w:val="0"/>
              <w:widowControl/>
              <w:suppressLineNumbers w:val="0"/>
              <w:spacing w:before="0" w:beforeAutospacing="0" w:after="0" w:afterAutospacing="0" w:line="0" w:lineRule="atLeast"/>
              <w:ind w:left="0" w:right="0"/>
              <w:jc w:val="center"/>
              <w:rPr>
                <w:rFonts w:ascii="宋体" w:hAnsi="宋体"/>
                <w:kern w:val="0"/>
                <w:szCs w:val="21"/>
              </w:rPr>
            </w:pPr>
            <w:r>
              <w:rPr>
                <w:rFonts w:hint="eastAsia" w:ascii="宋体" w:hAnsi="宋体"/>
                <w:kern w:val="0"/>
                <w:szCs w:val="21"/>
              </w:rPr>
              <w:t>绝缘子串长度</w:t>
            </w:r>
          </w:p>
        </w:tc>
        <w:tc>
          <w:tcPr>
            <w:tcW w:w="2940" w:type="dxa"/>
            <w:gridSpan w:val="2"/>
            <w:tcBorders>
              <w:top w:val="single" w:color="auto" w:sz="2" w:space="0"/>
              <w:left w:val="single" w:color="auto" w:sz="2" w:space="0"/>
              <w:bottom w:val="single" w:color="auto" w:sz="12" w:space="0"/>
              <w:right w:val="single" w:color="auto" w:sz="2" w:space="0"/>
            </w:tcBorders>
            <w:vAlign w:val="center"/>
          </w:tcPr>
          <w:p w14:paraId="413A5B59">
            <w:pPr>
              <w:keepNext w:val="0"/>
              <w:keepLines w:val="0"/>
              <w:suppressLineNumbers w:val="0"/>
              <w:spacing w:before="0" w:beforeAutospacing="0" w:after="0" w:afterAutospacing="0" w:line="0" w:lineRule="atLeast"/>
              <w:ind w:left="0" w:right="0"/>
              <w:jc w:val="center"/>
              <w:rPr>
                <w:rFonts w:ascii="宋体" w:hAnsi="宋体"/>
                <w:kern w:val="0"/>
                <w:szCs w:val="21"/>
              </w:rPr>
            </w:pPr>
            <w:r>
              <w:rPr>
                <w:rFonts w:hint="eastAsia"/>
                <w:kern w:val="0"/>
                <w:szCs w:val="21"/>
              </w:rPr>
              <w:t>2.2m</w:t>
            </w:r>
          </w:p>
        </w:tc>
        <w:tc>
          <w:tcPr>
            <w:tcW w:w="481" w:type="dxa"/>
            <w:vMerge w:val="continue"/>
            <w:tcBorders>
              <w:top w:val="single" w:color="auto" w:sz="2" w:space="0"/>
              <w:left w:val="single" w:color="auto" w:sz="2" w:space="0"/>
              <w:bottom w:val="single" w:color="auto" w:sz="12" w:space="0"/>
              <w:right w:val="single" w:color="auto" w:sz="2" w:space="0"/>
            </w:tcBorders>
            <w:vAlign w:val="center"/>
          </w:tcPr>
          <w:p w14:paraId="3F7B7661">
            <w:pPr>
              <w:keepNext w:val="0"/>
              <w:keepLines w:val="0"/>
              <w:widowControl/>
              <w:suppressLineNumbers w:val="0"/>
              <w:spacing w:before="0" w:beforeAutospacing="0" w:after="0" w:afterAutospacing="0"/>
              <w:ind w:left="0" w:right="0"/>
              <w:jc w:val="left"/>
              <w:rPr>
                <w:rFonts w:ascii="宋体" w:hAnsi="宋体"/>
                <w:kern w:val="0"/>
              </w:rPr>
            </w:pPr>
          </w:p>
        </w:tc>
        <w:tc>
          <w:tcPr>
            <w:tcW w:w="3682" w:type="dxa"/>
            <w:vMerge w:val="continue"/>
            <w:tcBorders>
              <w:top w:val="single" w:color="auto" w:sz="2" w:space="0"/>
              <w:left w:val="single" w:color="auto" w:sz="2" w:space="0"/>
              <w:bottom w:val="single" w:color="auto" w:sz="12" w:space="0"/>
              <w:right w:val="single" w:color="auto" w:sz="12" w:space="0"/>
            </w:tcBorders>
            <w:vAlign w:val="center"/>
          </w:tcPr>
          <w:p w14:paraId="52E9AFF6">
            <w:pPr>
              <w:keepNext w:val="0"/>
              <w:keepLines w:val="0"/>
              <w:widowControl/>
              <w:suppressLineNumbers w:val="0"/>
              <w:spacing w:before="0" w:beforeAutospacing="0" w:after="0" w:afterAutospacing="0"/>
              <w:ind w:left="0" w:right="0"/>
              <w:jc w:val="left"/>
              <w:rPr>
                <w:rFonts w:ascii="宋体" w:hAnsi="宋体"/>
                <w:kern w:val="0"/>
              </w:rPr>
            </w:pPr>
          </w:p>
        </w:tc>
      </w:tr>
    </w:tbl>
    <w:p w14:paraId="4EF59C9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2"/>
        <w:rPr>
          <w:rFonts w:ascii="宋体" w:hAnsi="宋体"/>
          <w:b/>
          <w:kern w:val="15"/>
          <w:sz w:val="24"/>
        </w:rPr>
      </w:pPr>
      <w:bookmarkStart w:id="31" w:name="_Toc12431"/>
      <w:bookmarkStart w:id="32" w:name="_Toc70009684"/>
      <w:bookmarkStart w:id="33" w:name="_Toc38780088"/>
      <w:bookmarkStart w:id="34" w:name="_Toc490170075"/>
      <w:r>
        <w:rPr>
          <w:b/>
          <w:kern w:val="15"/>
          <w:sz w:val="24"/>
        </w:rPr>
        <w:t>3.2.3</w:t>
      </w:r>
      <w:r>
        <w:rPr>
          <w:rFonts w:hint="eastAsia" w:ascii="宋体" w:hAnsi="宋体"/>
          <w:b/>
          <w:kern w:val="15"/>
          <w:sz w:val="24"/>
        </w:rPr>
        <w:t>建设项目线路工频电场强度、工频磁感应强度预测</w:t>
      </w:r>
      <w:bookmarkEnd w:id="31"/>
      <w:bookmarkEnd w:id="32"/>
      <w:bookmarkEnd w:id="33"/>
      <w:bookmarkEnd w:id="34"/>
    </w:p>
    <w:p w14:paraId="5ECA2D8A">
      <w:pPr>
        <w:spacing w:line="360" w:lineRule="auto"/>
        <w:rPr>
          <w:rFonts w:ascii="宋体" w:hAnsi="宋体"/>
          <w:bCs/>
          <w:sz w:val="24"/>
        </w:rPr>
      </w:pPr>
      <w:r>
        <w:rPr>
          <w:bCs/>
          <w:kern w:val="15"/>
          <w:sz w:val="24"/>
        </w:rPr>
        <w:t>3.2.3.1</w:t>
      </w:r>
      <w:r>
        <w:rPr>
          <w:rFonts w:hint="eastAsia" w:ascii="宋体" w:hAnsi="宋体"/>
          <w:bCs/>
          <w:kern w:val="15"/>
          <w:sz w:val="24"/>
        </w:rPr>
        <w:t>单回路线路段预测</w:t>
      </w:r>
    </w:p>
    <w:p w14:paraId="79166F03">
      <w:pPr>
        <w:spacing w:line="360" w:lineRule="auto"/>
        <w:ind w:firstLine="480" w:firstLineChars="200"/>
        <w:rPr>
          <w:rFonts w:ascii="宋体" w:hAnsi="宋体"/>
          <w:sz w:val="24"/>
        </w:rPr>
      </w:pPr>
      <w:r>
        <w:rPr>
          <w:rFonts w:hint="eastAsia" w:ascii="宋体" w:hAnsi="宋体"/>
          <w:sz w:val="24"/>
        </w:rPr>
        <w:t>根据《</w:t>
      </w:r>
      <w:r>
        <w:rPr>
          <w:sz w:val="24"/>
        </w:rPr>
        <w:t>110kV</w:t>
      </w:r>
      <w:r>
        <w:rPr>
          <w:rFonts w:hint="eastAsia" w:hAnsi="宋体"/>
          <w:sz w:val="24"/>
        </w:rPr>
        <w:t>~</w:t>
      </w:r>
      <w:r>
        <w:rPr>
          <w:sz w:val="24"/>
        </w:rPr>
        <w:t>750kV</w:t>
      </w:r>
      <w:r>
        <w:rPr>
          <w:rFonts w:hint="eastAsia" w:ascii="宋体" w:hAnsi="宋体"/>
          <w:sz w:val="24"/>
        </w:rPr>
        <w:t>架空输电线路设计规范》(</w:t>
      </w:r>
      <w:r>
        <w:rPr>
          <w:rFonts w:hint="eastAsia"/>
          <w:sz w:val="24"/>
        </w:rPr>
        <w:t>GB50545-2010</w:t>
      </w:r>
      <w:r>
        <w:rPr>
          <w:rFonts w:hint="eastAsia" w:ascii="宋体" w:hAnsi="宋体"/>
          <w:sz w:val="24"/>
        </w:rPr>
        <w:t>)中</w:t>
      </w:r>
      <w:r>
        <w:rPr>
          <w:rFonts w:hint="eastAsia"/>
          <w:sz w:val="24"/>
        </w:rPr>
        <w:t>220kV</w:t>
      </w:r>
      <w:r>
        <w:rPr>
          <w:rFonts w:hint="eastAsia" w:ascii="宋体" w:hAnsi="宋体"/>
          <w:sz w:val="24"/>
        </w:rPr>
        <w:t>架空线路要求导线对地面最小距离居民区(</w:t>
      </w:r>
      <w:r>
        <w:rPr>
          <w:rFonts w:hint="eastAsia"/>
          <w:sz w:val="24"/>
        </w:rPr>
        <w:t>7.5m</w:t>
      </w:r>
      <w:r>
        <w:rPr>
          <w:rFonts w:hint="eastAsia" w:ascii="宋体" w:hAnsi="宋体"/>
          <w:sz w:val="24"/>
        </w:rPr>
        <w:t>)和非居民区(</w:t>
      </w:r>
      <w:r>
        <w:rPr>
          <w:rFonts w:hint="eastAsia"/>
          <w:sz w:val="24"/>
        </w:rPr>
        <w:t>6.5m</w:t>
      </w:r>
      <w:r>
        <w:rPr>
          <w:rFonts w:hint="eastAsia" w:ascii="宋体" w:hAnsi="宋体"/>
          <w:sz w:val="24"/>
        </w:rPr>
        <w:t>)，本项目附近无居民区及电磁环境敏感目标本次预测导线对地高度为</w:t>
      </w:r>
      <w:r>
        <w:rPr>
          <w:rFonts w:hint="eastAsia"/>
          <w:sz w:val="24"/>
        </w:rPr>
        <w:t>6.5m</w:t>
      </w:r>
      <w:r>
        <w:rPr>
          <w:rFonts w:hint="eastAsia" w:ascii="宋体" w:hAnsi="宋体"/>
          <w:sz w:val="24"/>
        </w:rPr>
        <w:t>时，地面上</w:t>
      </w:r>
      <w:r>
        <w:rPr>
          <w:rFonts w:hint="eastAsia"/>
          <w:sz w:val="24"/>
        </w:rPr>
        <w:t>1.5m</w:t>
      </w:r>
      <w:r>
        <w:rPr>
          <w:rFonts w:hint="eastAsia" w:ascii="宋体" w:hAnsi="宋体"/>
          <w:sz w:val="24"/>
        </w:rPr>
        <w:t>高度处的工频电场强度和工频磁感应强度。</w:t>
      </w:r>
    </w:p>
    <w:p w14:paraId="1CFE980D">
      <w:pPr>
        <w:spacing w:line="360" w:lineRule="auto"/>
        <w:ind w:firstLine="480" w:firstLineChars="200"/>
        <w:rPr>
          <w:rFonts w:ascii="宋体" w:hAnsi="宋体"/>
          <w:sz w:val="24"/>
        </w:rPr>
      </w:pPr>
      <w:r>
        <w:rPr>
          <w:rFonts w:hint="eastAsia" w:ascii="宋体" w:hAnsi="宋体"/>
          <w:sz w:val="24"/>
        </w:rPr>
        <w:t>在输电线路的截面上建立平面坐标系，以杆塔中心在地面投影为坐标系的原点</w:t>
      </w:r>
      <w:r>
        <w:rPr>
          <w:rFonts w:hint="eastAsia"/>
          <w:sz w:val="24"/>
        </w:rPr>
        <w:t>O</w:t>
      </w:r>
      <w:r>
        <w:rPr>
          <w:rFonts w:hint="eastAsia" w:ascii="宋体" w:hAnsi="宋体"/>
          <w:sz w:val="24"/>
        </w:rPr>
        <w:t>(</w:t>
      </w:r>
      <w:r>
        <w:rPr>
          <w:rFonts w:hint="eastAsia"/>
          <w:sz w:val="24"/>
        </w:rPr>
        <w:t>0，0</w:t>
      </w:r>
      <w:r>
        <w:rPr>
          <w:rFonts w:hint="eastAsia" w:ascii="宋体" w:hAnsi="宋体"/>
          <w:sz w:val="24"/>
        </w:rPr>
        <w:t>)，X为水平方向、</w:t>
      </w:r>
      <w:r>
        <w:rPr>
          <w:rFonts w:hint="eastAsia"/>
          <w:sz w:val="24"/>
        </w:rPr>
        <w:t>Y</w:t>
      </w:r>
      <w:r>
        <w:rPr>
          <w:rFonts w:hint="eastAsia" w:ascii="宋体" w:hAnsi="宋体"/>
          <w:sz w:val="24"/>
        </w:rPr>
        <w:t>为垂直方向，单位为</w:t>
      </w:r>
      <w:r>
        <w:rPr>
          <w:rFonts w:hint="eastAsia"/>
          <w:sz w:val="24"/>
        </w:rPr>
        <w:t>m</w:t>
      </w:r>
      <w:r>
        <w:rPr>
          <w:rFonts w:hint="eastAsia" w:ascii="宋体" w:hAnsi="宋体"/>
          <w:sz w:val="24"/>
        </w:rPr>
        <w:t>。</w:t>
      </w:r>
    </w:p>
    <w:p w14:paraId="7CED48A4">
      <w:pPr>
        <w:spacing w:line="360" w:lineRule="auto"/>
        <w:ind w:firstLine="480" w:firstLineChars="200"/>
        <w:rPr>
          <w:rFonts w:ascii="宋体" w:hAnsi="宋体"/>
          <w:sz w:val="24"/>
        </w:rPr>
      </w:pPr>
      <w:r>
        <w:rPr>
          <w:rFonts w:hint="eastAsia" w:ascii="宋体" w:hAnsi="宋体"/>
          <w:sz w:val="24"/>
        </w:rPr>
        <w:t>单回线路(</w:t>
      </w:r>
      <w:r>
        <w:rPr>
          <w:rFonts w:hint="eastAsia"/>
          <w:sz w:val="24"/>
        </w:rPr>
        <w:t>220-GD22D-DJ</w:t>
      </w:r>
      <w:r>
        <w:rPr>
          <w:rFonts w:hint="eastAsia" w:ascii="宋体" w:hAnsi="宋体"/>
          <w:sz w:val="24"/>
        </w:rPr>
        <w:t>塔型)计算结果，详见表</w:t>
      </w:r>
      <w:r>
        <w:rPr>
          <w:rFonts w:hint="eastAsia"/>
          <w:sz w:val="24"/>
        </w:rPr>
        <w:t>3.2-3</w:t>
      </w:r>
      <w:r>
        <w:rPr>
          <w:rFonts w:hint="eastAsia" w:ascii="宋体" w:hAnsi="宋体"/>
          <w:sz w:val="24"/>
        </w:rPr>
        <w:t>及图</w:t>
      </w:r>
      <w:r>
        <w:rPr>
          <w:rFonts w:hint="eastAsia"/>
          <w:sz w:val="24"/>
        </w:rPr>
        <w:t>3.2-1~</w:t>
      </w:r>
      <w:r>
        <w:rPr>
          <w:rFonts w:hint="eastAsia" w:ascii="宋体" w:hAnsi="宋体"/>
          <w:sz w:val="24"/>
        </w:rPr>
        <w:t>图</w:t>
      </w:r>
      <w:r>
        <w:rPr>
          <w:rFonts w:hint="eastAsia"/>
          <w:sz w:val="24"/>
        </w:rPr>
        <w:t>3.2-2。</w:t>
      </w:r>
    </w:p>
    <w:p w14:paraId="76A3B7AD">
      <w:pPr>
        <w:jc w:val="center"/>
        <w:rPr>
          <w:rFonts w:ascii="宋体" w:hAnsi="宋体"/>
          <w:sz w:val="21"/>
          <w:szCs w:val="21"/>
        </w:rPr>
      </w:pPr>
      <w:r>
        <w:rPr>
          <w:rFonts w:hint="eastAsia" w:ascii="宋体" w:hAnsi="宋体"/>
          <w:b/>
          <w:sz w:val="21"/>
          <w:szCs w:val="21"/>
        </w:rPr>
        <w:t>表</w:t>
      </w:r>
      <w:r>
        <w:rPr>
          <w:b/>
          <w:sz w:val="21"/>
          <w:szCs w:val="21"/>
        </w:rPr>
        <w:t>3.2-3</w:t>
      </w:r>
      <w:r>
        <w:rPr>
          <w:rFonts w:hint="eastAsia" w:ascii="宋体" w:hAnsi="宋体"/>
          <w:b/>
          <w:sz w:val="21"/>
          <w:szCs w:val="21"/>
        </w:rPr>
        <w:t xml:space="preserve">    单回路线路工频电场强度及工频磁感应强度贡献值    </w:t>
      </w:r>
      <w:r>
        <w:rPr>
          <w:b/>
          <w:sz w:val="21"/>
          <w:szCs w:val="21"/>
        </w:rPr>
        <w:t>6.5m</w:t>
      </w:r>
      <w:r>
        <w:rPr>
          <w:rFonts w:hint="eastAsia" w:ascii="宋体" w:hAnsi="宋体"/>
          <w:b/>
          <w:sz w:val="21"/>
          <w:szCs w:val="21"/>
        </w:rPr>
        <w:t>线高</w:t>
      </w:r>
    </w:p>
    <w:tbl>
      <w:tblPr>
        <w:tblStyle w:val="21"/>
        <w:tblW w:w="4998" w:type="pct"/>
        <w:tblInd w:w="0" w:type="dxa"/>
        <w:tblLayout w:type="autofit"/>
        <w:tblCellMar>
          <w:top w:w="0" w:type="dxa"/>
          <w:left w:w="108" w:type="dxa"/>
          <w:bottom w:w="0" w:type="dxa"/>
          <w:right w:w="108" w:type="dxa"/>
        </w:tblCellMar>
      </w:tblPr>
      <w:tblGrid>
        <w:gridCol w:w="2837"/>
        <w:gridCol w:w="2841"/>
        <w:gridCol w:w="2841"/>
      </w:tblGrid>
      <w:tr w14:paraId="1A6595A0">
        <w:tblPrEx>
          <w:tblCellMar>
            <w:top w:w="0" w:type="dxa"/>
            <w:left w:w="108" w:type="dxa"/>
            <w:bottom w:w="0" w:type="dxa"/>
            <w:right w:w="108" w:type="dxa"/>
          </w:tblCellMar>
        </w:tblPrEx>
        <w:trPr>
          <w:trHeight w:val="361" w:hRule="atLeast"/>
        </w:trPr>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707EF3">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Cs/>
                <w:szCs w:val="21"/>
              </w:rPr>
              <w:t>距线路走廊中心距离(</w:t>
            </w:r>
            <w:r>
              <w:rPr>
                <w:rFonts w:eastAsiaTheme="minorEastAsia"/>
                <w:bCs/>
                <w:szCs w:val="21"/>
              </w:rPr>
              <w:t>m</w:t>
            </w:r>
            <w:r>
              <w:rPr>
                <w:rFonts w:hint="eastAsia" w:asciiTheme="minorEastAsia" w:hAnsiTheme="minorEastAsia" w:eastAsiaTheme="minorEastAsia" w:cstheme="minorEastAsia"/>
                <w:bCs/>
                <w:szCs w:val="21"/>
              </w:rPr>
              <w:t>)</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A3E92F">
            <w:pPr>
              <w:keepNext w:val="0"/>
              <w:keepLines w:val="0"/>
              <w:suppressLineNumbers w:val="0"/>
              <w:adjustRightInd w:val="0"/>
              <w:snapToGrid w:val="0"/>
              <w:spacing w:before="0" w:beforeAutospacing="0" w:after="0" w:afterAutospacing="0"/>
              <w:ind w:left="0" w:right="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Cs/>
                <w:szCs w:val="21"/>
              </w:rPr>
              <w:t>工频电场（</w:t>
            </w:r>
            <w:r>
              <w:rPr>
                <w:rFonts w:hint="eastAsia" w:eastAsiaTheme="minorEastAsia"/>
                <w:bCs/>
                <w:szCs w:val="21"/>
              </w:rPr>
              <w:t>kV/m</w:t>
            </w:r>
            <w:r>
              <w:rPr>
                <w:rFonts w:hint="eastAsia" w:asciiTheme="minorEastAsia" w:hAnsiTheme="minorEastAsia" w:eastAsiaTheme="minorEastAsia" w:cstheme="minorEastAsia"/>
                <w:bCs/>
                <w:szCs w:val="21"/>
              </w:rPr>
              <w:t>）</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97B3BC">
            <w:pPr>
              <w:keepNext w:val="0"/>
              <w:keepLines w:val="0"/>
              <w:suppressLineNumbers w:val="0"/>
              <w:adjustRightInd w:val="0"/>
              <w:snapToGrid w:val="0"/>
              <w:spacing w:before="0" w:beforeAutospacing="0" w:after="0" w:afterAutospacing="0"/>
              <w:ind w:left="0" w:right="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Cs/>
                <w:szCs w:val="21"/>
              </w:rPr>
              <w:t>工频磁感应强度（</w:t>
            </w:r>
            <w:r>
              <w:rPr>
                <w:szCs w:val="21"/>
              </w:rPr>
              <w:t>μT</w:t>
            </w:r>
            <w:r>
              <w:rPr>
                <w:rFonts w:hint="eastAsia" w:asciiTheme="minorEastAsia" w:hAnsiTheme="minorEastAsia" w:eastAsiaTheme="minorEastAsia" w:cstheme="minorEastAsia"/>
                <w:bCs/>
                <w:szCs w:val="21"/>
              </w:rPr>
              <w:t>）</w:t>
            </w:r>
          </w:p>
        </w:tc>
      </w:tr>
      <w:tr w14:paraId="75F56375">
        <w:tblPrEx>
          <w:tblCellMar>
            <w:top w:w="0" w:type="dxa"/>
            <w:left w:w="108" w:type="dxa"/>
            <w:bottom w:w="0" w:type="dxa"/>
            <w:right w:w="108" w:type="dxa"/>
          </w:tblCellMar>
        </w:tblPrEx>
        <w:trPr>
          <w:trHeight w:val="285" w:hRule="atLeast"/>
        </w:trPr>
        <w:tc>
          <w:tcPr>
            <w:tcW w:w="2837" w:type="dxa"/>
            <w:tcBorders>
              <w:top w:val="single" w:color="000000" w:sz="8" w:space="0"/>
              <w:left w:val="single" w:color="000000" w:sz="8" w:space="0"/>
              <w:bottom w:val="single" w:color="000000" w:sz="8" w:space="0"/>
              <w:right w:val="single" w:color="000000" w:sz="8" w:space="0"/>
            </w:tcBorders>
            <w:shd w:val="clear" w:color="auto" w:fill="auto"/>
          </w:tcPr>
          <w:p w14:paraId="5DCB2BF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-47</w:t>
            </w:r>
          </w:p>
        </w:tc>
        <w:tc>
          <w:tcPr>
            <w:tcW w:w="2841" w:type="dxa"/>
            <w:tcBorders>
              <w:top w:val="single" w:color="000000" w:sz="8" w:space="0"/>
              <w:left w:val="single" w:color="000000" w:sz="8" w:space="0"/>
              <w:bottom w:val="single" w:color="000000" w:sz="8" w:space="0"/>
              <w:right w:val="single" w:color="000000" w:sz="8" w:space="0"/>
            </w:tcBorders>
            <w:shd w:val="clear" w:color="auto" w:fill="auto"/>
          </w:tcPr>
          <w:p w14:paraId="1DFB99F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0.093</w:t>
            </w:r>
          </w:p>
        </w:tc>
        <w:tc>
          <w:tcPr>
            <w:tcW w:w="2841" w:type="dxa"/>
            <w:tcBorders>
              <w:top w:val="single" w:color="000000" w:sz="8" w:space="0"/>
              <w:left w:val="single" w:color="000000" w:sz="8" w:space="0"/>
              <w:bottom w:val="single" w:color="000000" w:sz="8" w:space="0"/>
              <w:right w:val="single" w:color="000000" w:sz="8" w:space="0"/>
            </w:tcBorders>
            <w:shd w:val="clear" w:color="auto" w:fill="auto"/>
          </w:tcPr>
          <w:p w14:paraId="63A8789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1.63</w:t>
            </w:r>
          </w:p>
        </w:tc>
      </w:tr>
      <w:tr w14:paraId="5D7BE90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D1A6A2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-46</w:t>
            </w:r>
          </w:p>
        </w:tc>
        <w:tc>
          <w:tcPr>
            <w:tcW w:w="2841" w:type="dxa"/>
            <w:tcBorders>
              <w:top w:val="nil"/>
              <w:left w:val="single" w:color="000000" w:sz="8" w:space="0"/>
              <w:bottom w:val="single" w:color="000000" w:sz="8" w:space="0"/>
              <w:right w:val="single" w:color="000000" w:sz="8" w:space="0"/>
            </w:tcBorders>
            <w:shd w:val="clear" w:color="auto" w:fill="auto"/>
          </w:tcPr>
          <w:p w14:paraId="3D4C7FC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0.099</w:t>
            </w:r>
          </w:p>
        </w:tc>
        <w:tc>
          <w:tcPr>
            <w:tcW w:w="2841" w:type="dxa"/>
            <w:tcBorders>
              <w:top w:val="nil"/>
              <w:left w:val="single" w:color="000000" w:sz="8" w:space="0"/>
              <w:bottom w:val="single" w:color="000000" w:sz="8" w:space="0"/>
              <w:right w:val="single" w:color="000000" w:sz="8" w:space="0"/>
            </w:tcBorders>
            <w:shd w:val="clear" w:color="auto" w:fill="auto"/>
          </w:tcPr>
          <w:p w14:paraId="732956E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1.70</w:t>
            </w:r>
          </w:p>
        </w:tc>
      </w:tr>
      <w:tr w14:paraId="11674C5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30883B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-45</w:t>
            </w:r>
          </w:p>
        </w:tc>
        <w:tc>
          <w:tcPr>
            <w:tcW w:w="2841" w:type="dxa"/>
            <w:tcBorders>
              <w:top w:val="nil"/>
              <w:left w:val="single" w:color="000000" w:sz="8" w:space="0"/>
              <w:bottom w:val="single" w:color="000000" w:sz="8" w:space="0"/>
              <w:right w:val="single" w:color="000000" w:sz="8" w:space="0"/>
            </w:tcBorders>
            <w:shd w:val="clear" w:color="auto" w:fill="auto"/>
          </w:tcPr>
          <w:p w14:paraId="1EE62D7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0.106</w:t>
            </w:r>
          </w:p>
        </w:tc>
        <w:tc>
          <w:tcPr>
            <w:tcW w:w="2841" w:type="dxa"/>
            <w:tcBorders>
              <w:top w:val="nil"/>
              <w:left w:val="single" w:color="000000" w:sz="8" w:space="0"/>
              <w:bottom w:val="single" w:color="000000" w:sz="8" w:space="0"/>
              <w:right w:val="single" w:color="000000" w:sz="8" w:space="0"/>
            </w:tcBorders>
            <w:shd w:val="clear" w:color="auto" w:fill="auto"/>
          </w:tcPr>
          <w:p w14:paraId="21B3F2F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1.77</w:t>
            </w:r>
          </w:p>
        </w:tc>
      </w:tr>
      <w:tr w14:paraId="3A9B120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B0E12D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-44</w:t>
            </w:r>
          </w:p>
        </w:tc>
        <w:tc>
          <w:tcPr>
            <w:tcW w:w="2841" w:type="dxa"/>
            <w:tcBorders>
              <w:top w:val="nil"/>
              <w:left w:val="single" w:color="000000" w:sz="8" w:space="0"/>
              <w:bottom w:val="single" w:color="000000" w:sz="8" w:space="0"/>
              <w:right w:val="single" w:color="000000" w:sz="8" w:space="0"/>
            </w:tcBorders>
            <w:shd w:val="clear" w:color="auto" w:fill="auto"/>
          </w:tcPr>
          <w:p w14:paraId="2E43D7F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0.113</w:t>
            </w:r>
          </w:p>
        </w:tc>
        <w:tc>
          <w:tcPr>
            <w:tcW w:w="2841" w:type="dxa"/>
            <w:tcBorders>
              <w:top w:val="nil"/>
              <w:left w:val="single" w:color="000000" w:sz="8" w:space="0"/>
              <w:bottom w:val="single" w:color="000000" w:sz="8" w:space="0"/>
              <w:right w:val="single" w:color="000000" w:sz="8" w:space="0"/>
            </w:tcBorders>
            <w:shd w:val="clear" w:color="auto" w:fill="auto"/>
          </w:tcPr>
          <w:p w14:paraId="7A79B49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1.86</w:t>
            </w:r>
          </w:p>
        </w:tc>
      </w:tr>
      <w:tr w14:paraId="64C094D8">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840717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-43</w:t>
            </w:r>
          </w:p>
        </w:tc>
        <w:tc>
          <w:tcPr>
            <w:tcW w:w="2841" w:type="dxa"/>
            <w:tcBorders>
              <w:top w:val="nil"/>
              <w:left w:val="single" w:color="000000" w:sz="8" w:space="0"/>
              <w:bottom w:val="single" w:color="000000" w:sz="8" w:space="0"/>
              <w:right w:val="single" w:color="000000" w:sz="8" w:space="0"/>
            </w:tcBorders>
            <w:shd w:val="clear" w:color="auto" w:fill="auto"/>
          </w:tcPr>
          <w:p w14:paraId="3B0249B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0.121</w:t>
            </w:r>
          </w:p>
        </w:tc>
        <w:tc>
          <w:tcPr>
            <w:tcW w:w="2841" w:type="dxa"/>
            <w:tcBorders>
              <w:top w:val="nil"/>
              <w:left w:val="single" w:color="000000" w:sz="8" w:space="0"/>
              <w:bottom w:val="single" w:color="000000" w:sz="8" w:space="0"/>
              <w:right w:val="single" w:color="000000" w:sz="8" w:space="0"/>
            </w:tcBorders>
            <w:shd w:val="clear" w:color="auto" w:fill="auto"/>
          </w:tcPr>
          <w:p w14:paraId="17E2DD2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1.94</w:t>
            </w:r>
          </w:p>
        </w:tc>
      </w:tr>
      <w:tr w14:paraId="4A48ED98">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076F0D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-42</w:t>
            </w:r>
          </w:p>
        </w:tc>
        <w:tc>
          <w:tcPr>
            <w:tcW w:w="2841" w:type="dxa"/>
            <w:tcBorders>
              <w:top w:val="nil"/>
              <w:left w:val="single" w:color="000000" w:sz="8" w:space="0"/>
              <w:bottom w:val="single" w:color="000000" w:sz="8" w:space="0"/>
              <w:right w:val="single" w:color="000000" w:sz="8" w:space="0"/>
            </w:tcBorders>
            <w:shd w:val="clear" w:color="auto" w:fill="auto"/>
          </w:tcPr>
          <w:p w14:paraId="2404283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0.129</w:t>
            </w:r>
          </w:p>
        </w:tc>
        <w:tc>
          <w:tcPr>
            <w:tcW w:w="2841" w:type="dxa"/>
            <w:tcBorders>
              <w:top w:val="nil"/>
              <w:left w:val="single" w:color="000000" w:sz="8" w:space="0"/>
              <w:bottom w:val="single" w:color="000000" w:sz="8" w:space="0"/>
              <w:right w:val="single" w:color="000000" w:sz="8" w:space="0"/>
            </w:tcBorders>
            <w:shd w:val="clear" w:color="auto" w:fill="auto"/>
          </w:tcPr>
          <w:p w14:paraId="0EEF36A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2.04</w:t>
            </w:r>
          </w:p>
        </w:tc>
      </w:tr>
      <w:tr w14:paraId="0F551F4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F5716E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-41</w:t>
            </w:r>
          </w:p>
        </w:tc>
        <w:tc>
          <w:tcPr>
            <w:tcW w:w="2841" w:type="dxa"/>
            <w:tcBorders>
              <w:top w:val="nil"/>
              <w:left w:val="single" w:color="000000" w:sz="8" w:space="0"/>
              <w:bottom w:val="single" w:color="000000" w:sz="8" w:space="0"/>
              <w:right w:val="single" w:color="000000" w:sz="8" w:space="0"/>
            </w:tcBorders>
            <w:shd w:val="clear" w:color="auto" w:fill="auto"/>
          </w:tcPr>
          <w:p w14:paraId="0C21BEC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0.139</w:t>
            </w:r>
          </w:p>
        </w:tc>
        <w:tc>
          <w:tcPr>
            <w:tcW w:w="2841" w:type="dxa"/>
            <w:tcBorders>
              <w:top w:val="nil"/>
              <w:left w:val="single" w:color="000000" w:sz="8" w:space="0"/>
              <w:bottom w:val="single" w:color="000000" w:sz="8" w:space="0"/>
              <w:right w:val="single" w:color="000000" w:sz="8" w:space="0"/>
            </w:tcBorders>
            <w:shd w:val="clear" w:color="auto" w:fill="auto"/>
          </w:tcPr>
          <w:p w14:paraId="01D8BDE9">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2.14</w:t>
            </w:r>
          </w:p>
        </w:tc>
      </w:tr>
      <w:tr w14:paraId="49CFA36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B08BB0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-40</w:t>
            </w:r>
          </w:p>
        </w:tc>
        <w:tc>
          <w:tcPr>
            <w:tcW w:w="2841" w:type="dxa"/>
            <w:tcBorders>
              <w:top w:val="nil"/>
              <w:left w:val="single" w:color="000000" w:sz="8" w:space="0"/>
              <w:bottom w:val="single" w:color="000000" w:sz="8" w:space="0"/>
              <w:right w:val="single" w:color="000000" w:sz="8" w:space="0"/>
            </w:tcBorders>
            <w:shd w:val="clear" w:color="auto" w:fill="auto"/>
          </w:tcPr>
          <w:p w14:paraId="2B067BB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0.149</w:t>
            </w:r>
          </w:p>
        </w:tc>
        <w:tc>
          <w:tcPr>
            <w:tcW w:w="2841" w:type="dxa"/>
            <w:tcBorders>
              <w:top w:val="nil"/>
              <w:left w:val="single" w:color="000000" w:sz="8" w:space="0"/>
              <w:bottom w:val="single" w:color="000000" w:sz="8" w:space="0"/>
              <w:right w:val="single" w:color="000000" w:sz="8" w:space="0"/>
            </w:tcBorders>
            <w:shd w:val="clear" w:color="auto" w:fill="auto"/>
          </w:tcPr>
          <w:p w14:paraId="6550B5F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2.25</w:t>
            </w:r>
          </w:p>
        </w:tc>
      </w:tr>
      <w:tr w14:paraId="6B50E90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9B3AE2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-39</w:t>
            </w:r>
          </w:p>
        </w:tc>
        <w:tc>
          <w:tcPr>
            <w:tcW w:w="2841" w:type="dxa"/>
            <w:tcBorders>
              <w:top w:val="nil"/>
              <w:left w:val="single" w:color="000000" w:sz="8" w:space="0"/>
              <w:bottom w:val="single" w:color="000000" w:sz="8" w:space="0"/>
              <w:right w:val="single" w:color="000000" w:sz="8" w:space="0"/>
            </w:tcBorders>
            <w:shd w:val="clear" w:color="auto" w:fill="auto"/>
          </w:tcPr>
          <w:p w14:paraId="7F73ED9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0.161</w:t>
            </w:r>
          </w:p>
        </w:tc>
        <w:tc>
          <w:tcPr>
            <w:tcW w:w="2841" w:type="dxa"/>
            <w:tcBorders>
              <w:top w:val="nil"/>
              <w:left w:val="single" w:color="000000" w:sz="8" w:space="0"/>
              <w:bottom w:val="single" w:color="000000" w:sz="8" w:space="0"/>
              <w:right w:val="single" w:color="000000" w:sz="8" w:space="0"/>
            </w:tcBorders>
            <w:shd w:val="clear" w:color="auto" w:fill="auto"/>
          </w:tcPr>
          <w:p w14:paraId="4D01A5C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2.37</w:t>
            </w:r>
          </w:p>
        </w:tc>
      </w:tr>
      <w:tr w14:paraId="5054793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532FA1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-38</w:t>
            </w:r>
          </w:p>
        </w:tc>
        <w:tc>
          <w:tcPr>
            <w:tcW w:w="2841" w:type="dxa"/>
            <w:tcBorders>
              <w:top w:val="nil"/>
              <w:left w:val="single" w:color="000000" w:sz="8" w:space="0"/>
              <w:bottom w:val="single" w:color="000000" w:sz="8" w:space="0"/>
              <w:right w:val="single" w:color="000000" w:sz="8" w:space="0"/>
            </w:tcBorders>
            <w:shd w:val="clear" w:color="auto" w:fill="auto"/>
          </w:tcPr>
          <w:p w14:paraId="3591755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0.173</w:t>
            </w:r>
          </w:p>
        </w:tc>
        <w:tc>
          <w:tcPr>
            <w:tcW w:w="2841" w:type="dxa"/>
            <w:tcBorders>
              <w:top w:val="nil"/>
              <w:left w:val="single" w:color="000000" w:sz="8" w:space="0"/>
              <w:bottom w:val="single" w:color="000000" w:sz="8" w:space="0"/>
              <w:right w:val="single" w:color="000000" w:sz="8" w:space="0"/>
            </w:tcBorders>
            <w:shd w:val="clear" w:color="auto" w:fill="auto"/>
          </w:tcPr>
          <w:p w14:paraId="330AB51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2.49</w:t>
            </w:r>
          </w:p>
        </w:tc>
      </w:tr>
      <w:tr w14:paraId="1C61947B">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A47096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-37</w:t>
            </w:r>
          </w:p>
        </w:tc>
        <w:tc>
          <w:tcPr>
            <w:tcW w:w="2841" w:type="dxa"/>
            <w:tcBorders>
              <w:top w:val="nil"/>
              <w:left w:val="single" w:color="000000" w:sz="8" w:space="0"/>
              <w:bottom w:val="single" w:color="000000" w:sz="8" w:space="0"/>
              <w:right w:val="single" w:color="000000" w:sz="8" w:space="0"/>
            </w:tcBorders>
            <w:shd w:val="clear" w:color="auto" w:fill="auto"/>
          </w:tcPr>
          <w:p w14:paraId="6A75A53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0.188</w:t>
            </w:r>
          </w:p>
        </w:tc>
        <w:tc>
          <w:tcPr>
            <w:tcW w:w="2841" w:type="dxa"/>
            <w:tcBorders>
              <w:top w:val="nil"/>
              <w:left w:val="single" w:color="000000" w:sz="8" w:space="0"/>
              <w:bottom w:val="single" w:color="000000" w:sz="8" w:space="0"/>
              <w:right w:val="single" w:color="000000" w:sz="8" w:space="0"/>
            </w:tcBorders>
            <w:shd w:val="clear" w:color="auto" w:fill="auto"/>
          </w:tcPr>
          <w:p w14:paraId="1A3AAAF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2.63</w:t>
            </w:r>
          </w:p>
        </w:tc>
      </w:tr>
      <w:tr w14:paraId="30122B2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57F7B7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-36</w:t>
            </w:r>
          </w:p>
        </w:tc>
        <w:tc>
          <w:tcPr>
            <w:tcW w:w="2841" w:type="dxa"/>
            <w:tcBorders>
              <w:top w:val="nil"/>
              <w:left w:val="single" w:color="000000" w:sz="8" w:space="0"/>
              <w:bottom w:val="single" w:color="000000" w:sz="8" w:space="0"/>
              <w:right w:val="single" w:color="000000" w:sz="8" w:space="0"/>
            </w:tcBorders>
            <w:shd w:val="clear" w:color="auto" w:fill="auto"/>
          </w:tcPr>
          <w:p w14:paraId="3198DB5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0.204</w:t>
            </w:r>
          </w:p>
        </w:tc>
        <w:tc>
          <w:tcPr>
            <w:tcW w:w="2841" w:type="dxa"/>
            <w:tcBorders>
              <w:top w:val="nil"/>
              <w:left w:val="single" w:color="000000" w:sz="8" w:space="0"/>
              <w:bottom w:val="single" w:color="000000" w:sz="8" w:space="0"/>
              <w:right w:val="single" w:color="000000" w:sz="8" w:space="0"/>
            </w:tcBorders>
            <w:shd w:val="clear" w:color="auto" w:fill="auto"/>
          </w:tcPr>
          <w:p w14:paraId="1D6A218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2.78</w:t>
            </w:r>
          </w:p>
        </w:tc>
      </w:tr>
      <w:tr w14:paraId="12ED256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7DA027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-35</w:t>
            </w:r>
          </w:p>
        </w:tc>
        <w:tc>
          <w:tcPr>
            <w:tcW w:w="2841" w:type="dxa"/>
            <w:tcBorders>
              <w:top w:val="nil"/>
              <w:left w:val="single" w:color="000000" w:sz="8" w:space="0"/>
              <w:bottom w:val="single" w:color="000000" w:sz="8" w:space="0"/>
              <w:right w:val="single" w:color="000000" w:sz="8" w:space="0"/>
            </w:tcBorders>
            <w:shd w:val="clear" w:color="auto" w:fill="auto"/>
          </w:tcPr>
          <w:p w14:paraId="55DBA91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0.222</w:t>
            </w:r>
          </w:p>
        </w:tc>
        <w:tc>
          <w:tcPr>
            <w:tcW w:w="2841" w:type="dxa"/>
            <w:tcBorders>
              <w:top w:val="nil"/>
              <w:left w:val="single" w:color="000000" w:sz="8" w:space="0"/>
              <w:bottom w:val="single" w:color="000000" w:sz="8" w:space="0"/>
              <w:right w:val="single" w:color="000000" w:sz="8" w:space="0"/>
            </w:tcBorders>
            <w:shd w:val="clear" w:color="auto" w:fill="auto"/>
          </w:tcPr>
          <w:p w14:paraId="3E83C5ED">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2.94</w:t>
            </w:r>
          </w:p>
        </w:tc>
      </w:tr>
      <w:tr w14:paraId="07D35C24">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F22BFE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-34</w:t>
            </w:r>
          </w:p>
        </w:tc>
        <w:tc>
          <w:tcPr>
            <w:tcW w:w="2841" w:type="dxa"/>
            <w:tcBorders>
              <w:top w:val="nil"/>
              <w:left w:val="single" w:color="000000" w:sz="8" w:space="0"/>
              <w:bottom w:val="single" w:color="000000" w:sz="8" w:space="0"/>
              <w:right w:val="single" w:color="000000" w:sz="8" w:space="0"/>
            </w:tcBorders>
            <w:shd w:val="clear" w:color="auto" w:fill="auto"/>
          </w:tcPr>
          <w:p w14:paraId="4EF7F9C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0.242</w:t>
            </w:r>
          </w:p>
        </w:tc>
        <w:tc>
          <w:tcPr>
            <w:tcW w:w="2841" w:type="dxa"/>
            <w:tcBorders>
              <w:top w:val="nil"/>
              <w:left w:val="single" w:color="000000" w:sz="8" w:space="0"/>
              <w:bottom w:val="single" w:color="000000" w:sz="8" w:space="0"/>
              <w:right w:val="single" w:color="000000" w:sz="8" w:space="0"/>
            </w:tcBorders>
            <w:shd w:val="clear" w:color="auto" w:fill="auto"/>
          </w:tcPr>
          <w:p w14:paraId="0B68A7F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3.12</w:t>
            </w:r>
          </w:p>
        </w:tc>
      </w:tr>
      <w:tr w14:paraId="760CAED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1441D6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-33</w:t>
            </w:r>
          </w:p>
        </w:tc>
        <w:tc>
          <w:tcPr>
            <w:tcW w:w="2841" w:type="dxa"/>
            <w:tcBorders>
              <w:top w:val="nil"/>
              <w:left w:val="single" w:color="000000" w:sz="8" w:space="0"/>
              <w:bottom w:val="single" w:color="000000" w:sz="8" w:space="0"/>
              <w:right w:val="single" w:color="000000" w:sz="8" w:space="0"/>
            </w:tcBorders>
            <w:shd w:val="clear" w:color="auto" w:fill="auto"/>
          </w:tcPr>
          <w:p w14:paraId="53C7A2E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0.264</w:t>
            </w:r>
          </w:p>
        </w:tc>
        <w:tc>
          <w:tcPr>
            <w:tcW w:w="2841" w:type="dxa"/>
            <w:tcBorders>
              <w:top w:val="nil"/>
              <w:left w:val="single" w:color="000000" w:sz="8" w:space="0"/>
              <w:bottom w:val="single" w:color="000000" w:sz="8" w:space="0"/>
              <w:right w:val="single" w:color="000000" w:sz="8" w:space="0"/>
            </w:tcBorders>
            <w:shd w:val="clear" w:color="auto" w:fill="auto"/>
          </w:tcPr>
          <w:p w14:paraId="2DFD825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3.31</w:t>
            </w:r>
          </w:p>
        </w:tc>
      </w:tr>
      <w:tr w14:paraId="30CAD82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A06E615">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-32</w:t>
            </w:r>
          </w:p>
        </w:tc>
        <w:tc>
          <w:tcPr>
            <w:tcW w:w="2841" w:type="dxa"/>
            <w:tcBorders>
              <w:top w:val="nil"/>
              <w:left w:val="single" w:color="000000" w:sz="8" w:space="0"/>
              <w:bottom w:val="single" w:color="000000" w:sz="8" w:space="0"/>
              <w:right w:val="single" w:color="000000" w:sz="8" w:space="0"/>
            </w:tcBorders>
            <w:shd w:val="clear" w:color="auto" w:fill="auto"/>
          </w:tcPr>
          <w:p w14:paraId="29EB631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0.29</w:t>
            </w:r>
          </w:p>
        </w:tc>
        <w:tc>
          <w:tcPr>
            <w:tcW w:w="2841" w:type="dxa"/>
            <w:tcBorders>
              <w:top w:val="nil"/>
              <w:left w:val="single" w:color="000000" w:sz="8" w:space="0"/>
              <w:bottom w:val="single" w:color="000000" w:sz="8" w:space="0"/>
              <w:right w:val="single" w:color="000000" w:sz="8" w:space="0"/>
            </w:tcBorders>
            <w:shd w:val="clear" w:color="auto" w:fill="auto"/>
          </w:tcPr>
          <w:p w14:paraId="30698B7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3.53</w:t>
            </w:r>
          </w:p>
        </w:tc>
      </w:tr>
      <w:tr w14:paraId="4045CB8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2CD0F0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-31</w:t>
            </w:r>
          </w:p>
        </w:tc>
        <w:tc>
          <w:tcPr>
            <w:tcW w:w="2841" w:type="dxa"/>
            <w:tcBorders>
              <w:top w:val="nil"/>
              <w:left w:val="single" w:color="000000" w:sz="8" w:space="0"/>
              <w:bottom w:val="single" w:color="000000" w:sz="8" w:space="0"/>
              <w:right w:val="single" w:color="000000" w:sz="8" w:space="0"/>
            </w:tcBorders>
            <w:shd w:val="clear" w:color="auto" w:fill="auto"/>
          </w:tcPr>
          <w:p w14:paraId="316ED42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0.319</w:t>
            </w:r>
          </w:p>
        </w:tc>
        <w:tc>
          <w:tcPr>
            <w:tcW w:w="2841" w:type="dxa"/>
            <w:tcBorders>
              <w:top w:val="nil"/>
              <w:left w:val="single" w:color="000000" w:sz="8" w:space="0"/>
              <w:bottom w:val="single" w:color="000000" w:sz="8" w:space="0"/>
              <w:right w:val="single" w:color="000000" w:sz="8" w:space="0"/>
            </w:tcBorders>
            <w:shd w:val="clear" w:color="auto" w:fill="auto"/>
          </w:tcPr>
          <w:p w14:paraId="2771C12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3.76</w:t>
            </w:r>
          </w:p>
        </w:tc>
      </w:tr>
      <w:tr w14:paraId="44501C86">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0F0BB75">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-30</w:t>
            </w:r>
          </w:p>
        </w:tc>
        <w:tc>
          <w:tcPr>
            <w:tcW w:w="2841" w:type="dxa"/>
            <w:tcBorders>
              <w:top w:val="nil"/>
              <w:left w:val="single" w:color="000000" w:sz="8" w:space="0"/>
              <w:bottom w:val="single" w:color="000000" w:sz="8" w:space="0"/>
              <w:right w:val="single" w:color="000000" w:sz="8" w:space="0"/>
            </w:tcBorders>
            <w:shd w:val="clear" w:color="auto" w:fill="auto"/>
          </w:tcPr>
          <w:p w14:paraId="61EA4B4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0.352</w:t>
            </w:r>
          </w:p>
        </w:tc>
        <w:tc>
          <w:tcPr>
            <w:tcW w:w="2841" w:type="dxa"/>
            <w:tcBorders>
              <w:top w:val="nil"/>
              <w:left w:val="single" w:color="000000" w:sz="8" w:space="0"/>
              <w:bottom w:val="single" w:color="000000" w:sz="8" w:space="0"/>
              <w:right w:val="single" w:color="000000" w:sz="8" w:space="0"/>
            </w:tcBorders>
            <w:shd w:val="clear" w:color="auto" w:fill="auto"/>
          </w:tcPr>
          <w:p w14:paraId="0B3CD58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4.02</w:t>
            </w:r>
          </w:p>
        </w:tc>
      </w:tr>
      <w:tr w14:paraId="3B4B813B">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CC6F99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-29</w:t>
            </w:r>
          </w:p>
        </w:tc>
        <w:tc>
          <w:tcPr>
            <w:tcW w:w="2841" w:type="dxa"/>
            <w:tcBorders>
              <w:top w:val="nil"/>
              <w:left w:val="single" w:color="000000" w:sz="8" w:space="0"/>
              <w:bottom w:val="single" w:color="000000" w:sz="8" w:space="0"/>
              <w:right w:val="single" w:color="000000" w:sz="8" w:space="0"/>
            </w:tcBorders>
            <w:shd w:val="clear" w:color="auto" w:fill="auto"/>
          </w:tcPr>
          <w:p w14:paraId="1C6CE63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0.391</w:t>
            </w:r>
          </w:p>
        </w:tc>
        <w:tc>
          <w:tcPr>
            <w:tcW w:w="2841" w:type="dxa"/>
            <w:tcBorders>
              <w:top w:val="nil"/>
              <w:left w:val="single" w:color="000000" w:sz="8" w:space="0"/>
              <w:bottom w:val="single" w:color="000000" w:sz="8" w:space="0"/>
              <w:right w:val="single" w:color="000000" w:sz="8" w:space="0"/>
            </w:tcBorders>
            <w:shd w:val="clear" w:color="auto" w:fill="auto"/>
          </w:tcPr>
          <w:p w14:paraId="70FF1C1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4.30</w:t>
            </w:r>
          </w:p>
        </w:tc>
      </w:tr>
      <w:tr w14:paraId="03A27E69">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C8BCF7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-28</w:t>
            </w:r>
          </w:p>
        </w:tc>
        <w:tc>
          <w:tcPr>
            <w:tcW w:w="2841" w:type="dxa"/>
            <w:tcBorders>
              <w:top w:val="nil"/>
              <w:left w:val="single" w:color="000000" w:sz="8" w:space="0"/>
              <w:bottom w:val="single" w:color="000000" w:sz="8" w:space="0"/>
              <w:right w:val="single" w:color="000000" w:sz="8" w:space="0"/>
            </w:tcBorders>
            <w:shd w:val="clear" w:color="auto" w:fill="auto"/>
          </w:tcPr>
          <w:p w14:paraId="127A12B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0.434</w:t>
            </w:r>
          </w:p>
        </w:tc>
        <w:tc>
          <w:tcPr>
            <w:tcW w:w="2841" w:type="dxa"/>
            <w:tcBorders>
              <w:top w:val="nil"/>
              <w:left w:val="single" w:color="000000" w:sz="8" w:space="0"/>
              <w:bottom w:val="single" w:color="000000" w:sz="8" w:space="0"/>
              <w:right w:val="single" w:color="000000" w:sz="8" w:space="0"/>
            </w:tcBorders>
            <w:shd w:val="clear" w:color="auto" w:fill="auto"/>
          </w:tcPr>
          <w:p w14:paraId="31831F6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4.62</w:t>
            </w:r>
          </w:p>
        </w:tc>
      </w:tr>
      <w:tr w14:paraId="0D6C767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B7FE31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-27</w:t>
            </w:r>
          </w:p>
        </w:tc>
        <w:tc>
          <w:tcPr>
            <w:tcW w:w="2841" w:type="dxa"/>
            <w:tcBorders>
              <w:top w:val="nil"/>
              <w:left w:val="single" w:color="000000" w:sz="8" w:space="0"/>
              <w:bottom w:val="single" w:color="000000" w:sz="8" w:space="0"/>
              <w:right w:val="single" w:color="000000" w:sz="8" w:space="0"/>
            </w:tcBorders>
            <w:shd w:val="clear" w:color="auto" w:fill="auto"/>
          </w:tcPr>
          <w:p w14:paraId="4172673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0.485</w:t>
            </w:r>
          </w:p>
        </w:tc>
        <w:tc>
          <w:tcPr>
            <w:tcW w:w="2841" w:type="dxa"/>
            <w:tcBorders>
              <w:top w:val="nil"/>
              <w:left w:val="single" w:color="000000" w:sz="8" w:space="0"/>
              <w:bottom w:val="single" w:color="000000" w:sz="8" w:space="0"/>
              <w:right w:val="single" w:color="000000" w:sz="8" w:space="0"/>
            </w:tcBorders>
            <w:shd w:val="clear" w:color="auto" w:fill="auto"/>
          </w:tcPr>
          <w:p w14:paraId="27348814">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4.97</w:t>
            </w:r>
          </w:p>
        </w:tc>
      </w:tr>
      <w:tr w14:paraId="02D26B3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9205E7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-26</w:t>
            </w:r>
          </w:p>
        </w:tc>
        <w:tc>
          <w:tcPr>
            <w:tcW w:w="2841" w:type="dxa"/>
            <w:tcBorders>
              <w:top w:val="nil"/>
              <w:left w:val="single" w:color="000000" w:sz="8" w:space="0"/>
              <w:bottom w:val="single" w:color="000000" w:sz="8" w:space="0"/>
              <w:right w:val="single" w:color="000000" w:sz="8" w:space="0"/>
            </w:tcBorders>
            <w:shd w:val="clear" w:color="auto" w:fill="auto"/>
          </w:tcPr>
          <w:p w14:paraId="7178C49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0.544</w:t>
            </w:r>
          </w:p>
        </w:tc>
        <w:tc>
          <w:tcPr>
            <w:tcW w:w="2841" w:type="dxa"/>
            <w:tcBorders>
              <w:top w:val="nil"/>
              <w:left w:val="single" w:color="000000" w:sz="8" w:space="0"/>
              <w:bottom w:val="single" w:color="000000" w:sz="8" w:space="0"/>
              <w:right w:val="single" w:color="000000" w:sz="8" w:space="0"/>
            </w:tcBorders>
            <w:shd w:val="clear" w:color="auto" w:fill="auto"/>
          </w:tcPr>
          <w:p w14:paraId="7EF652CF">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5.37</w:t>
            </w:r>
          </w:p>
        </w:tc>
      </w:tr>
      <w:tr w14:paraId="02E6D706">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8F3CB0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-25</w:t>
            </w:r>
          </w:p>
        </w:tc>
        <w:tc>
          <w:tcPr>
            <w:tcW w:w="2841" w:type="dxa"/>
            <w:tcBorders>
              <w:top w:val="nil"/>
              <w:left w:val="single" w:color="000000" w:sz="8" w:space="0"/>
              <w:bottom w:val="single" w:color="000000" w:sz="8" w:space="0"/>
              <w:right w:val="single" w:color="000000" w:sz="8" w:space="0"/>
            </w:tcBorders>
            <w:shd w:val="clear" w:color="auto" w:fill="auto"/>
          </w:tcPr>
          <w:p w14:paraId="6E98460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0.612</w:t>
            </w:r>
          </w:p>
        </w:tc>
        <w:tc>
          <w:tcPr>
            <w:tcW w:w="2841" w:type="dxa"/>
            <w:tcBorders>
              <w:top w:val="nil"/>
              <w:left w:val="single" w:color="000000" w:sz="8" w:space="0"/>
              <w:bottom w:val="single" w:color="000000" w:sz="8" w:space="0"/>
              <w:right w:val="single" w:color="000000" w:sz="8" w:space="0"/>
            </w:tcBorders>
            <w:shd w:val="clear" w:color="auto" w:fill="auto"/>
          </w:tcPr>
          <w:p w14:paraId="779D56A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5.81</w:t>
            </w:r>
          </w:p>
        </w:tc>
      </w:tr>
      <w:tr w14:paraId="11946A29">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CE54CF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-24</w:t>
            </w:r>
          </w:p>
        </w:tc>
        <w:tc>
          <w:tcPr>
            <w:tcW w:w="2841" w:type="dxa"/>
            <w:tcBorders>
              <w:top w:val="nil"/>
              <w:left w:val="single" w:color="000000" w:sz="8" w:space="0"/>
              <w:bottom w:val="single" w:color="000000" w:sz="8" w:space="0"/>
              <w:right w:val="single" w:color="000000" w:sz="8" w:space="0"/>
            </w:tcBorders>
            <w:shd w:val="clear" w:color="auto" w:fill="auto"/>
          </w:tcPr>
          <w:p w14:paraId="35419BB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0.692</w:t>
            </w:r>
          </w:p>
        </w:tc>
        <w:tc>
          <w:tcPr>
            <w:tcW w:w="2841" w:type="dxa"/>
            <w:tcBorders>
              <w:top w:val="nil"/>
              <w:left w:val="single" w:color="000000" w:sz="8" w:space="0"/>
              <w:bottom w:val="single" w:color="000000" w:sz="8" w:space="0"/>
              <w:right w:val="single" w:color="000000" w:sz="8" w:space="0"/>
            </w:tcBorders>
            <w:shd w:val="clear" w:color="auto" w:fill="auto"/>
          </w:tcPr>
          <w:p w14:paraId="4C747DA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6.32</w:t>
            </w:r>
          </w:p>
        </w:tc>
      </w:tr>
      <w:tr w14:paraId="379B05A9">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8081B5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-23</w:t>
            </w:r>
          </w:p>
        </w:tc>
        <w:tc>
          <w:tcPr>
            <w:tcW w:w="2841" w:type="dxa"/>
            <w:tcBorders>
              <w:top w:val="nil"/>
              <w:left w:val="single" w:color="000000" w:sz="8" w:space="0"/>
              <w:bottom w:val="single" w:color="000000" w:sz="8" w:space="0"/>
              <w:right w:val="single" w:color="000000" w:sz="8" w:space="0"/>
            </w:tcBorders>
            <w:shd w:val="clear" w:color="auto" w:fill="auto"/>
          </w:tcPr>
          <w:p w14:paraId="60CF177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0.787</w:t>
            </w:r>
          </w:p>
        </w:tc>
        <w:tc>
          <w:tcPr>
            <w:tcW w:w="2841" w:type="dxa"/>
            <w:tcBorders>
              <w:top w:val="nil"/>
              <w:left w:val="single" w:color="000000" w:sz="8" w:space="0"/>
              <w:bottom w:val="single" w:color="000000" w:sz="8" w:space="0"/>
              <w:right w:val="single" w:color="000000" w:sz="8" w:space="0"/>
            </w:tcBorders>
            <w:shd w:val="clear" w:color="auto" w:fill="auto"/>
          </w:tcPr>
          <w:p w14:paraId="78D5BE5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6.89</w:t>
            </w:r>
          </w:p>
        </w:tc>
      </w:tr>
      <w:tr w14:paraId="4369F232">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837555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-22</w:t>
            </w:r>
          </w:p>
        </w:tc>
        <w:tc>
          <w:tcPr>
            <w:tcW w:w="2841" w:type="dxa"/>
            <w:tcBorders>
              <w:top w:val="nil"/>
              <w:left w:val="single" w:color="000000" w:sz="8" w:space="0"/>
              <w:bottom w:val="single" w:color="000000" w:sz="8" w:space="0"/>
              <w:right w:val="single" w:color="000000" w:sz="8" w:space="0"/>
            </w:tcBorders>
            <w:shd w:val="clear" w:color="auto" w:fill="auto"/>
          </w:tcPr>
          <w:p w14:paraId="54F745F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0.899</w:t>
            </w:r>
          </w:p>
        </w:tc>
        <w:tc>
          <w:tcPr>
            <w:tcW w:w="2841" w:type="dxa"/>
            <w:tcBorders>
              <w:top w:val="nil"/>
              <w:left w:val="single" w:color="000000" w:sz="8" w:space="0"/>
              <w:bottom w:val="single" w:color="000000" w:sz="8" w:space="0"/>
              <w:right w:val="single" w:color="000000" w:sz="8" w:space="0"/>
            </w:tcBorders>
            <w:shd w:val="clear" w:color="auto" w:fill="auto"/>
          </w:tcPr>
          <w:p w14:paraId="61E30879">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7.54</w:t>
            </w:r>
          </w:p>
        </w:tc>
      </w:tr>
      <w:tr w14:paraId="2DF90A8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96561F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-21</w:t>
            </w:r>
          </w:p>
        </w:tc>
        <w:tc>
          <w:tcPr>
            <w:tcW w:w="2841" w:type="dxa"/>
            <w:tcBorders>
              <w:top w:val="nil"/>
              <w:left w:val="single" w:color="000000" w:sz="8" w:space="0"/>
              <w:bottom w:val="single" w:color="000000" w:sz="8" w:space="0"/>
              <w:right w:val="single" w:color="000000" w:sz="8" w:space="0"/>
            </w:tcBorders>
            <w:shd w:val="clear" w:color="auto" w:fill="auto"/>
          </w:tcPr>
          <w:p w14:paraId="5EAF696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1.032</w:t>
            </w:r>
          </w:p>
        </w:tc>
        <w:tc>
          <w:tcPr>
            <w:tcW w:w="2841" w:type="dxa"/>
            <w:tcBorders>
              <w:top w:val="nil"/>
              <w:left w:val="single" w:color="000000" w:sz="8" w:space="0"/>
              <w:bottom w:val="single" w:color="000000" w:sz="8" w:space="0"/>
              <w:right w:val="single" w:color="000000" w:sz="8" w:space="0"/>
            </w:tcBorders>
            <w:shd w:val="clear" w:color="auto" w:fill="auto"/>
          </w:tcPr>
          <w:p w14:paraId="1D5C276D">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8.28</w:t>
            </w:r>
          </w:p>
        </w:tc>
      </w:tr>
      <w:tr w14:paraId="2DFC1B0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99A75F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-20</w:t>
            </w:r>
          </w:p>
        </w:tc>
        <w:tc>
          <w:tcPr>
            <w:tcW w:w="2841" w:type="dxa"/>
            <w:tcBorders>
              <w:top w:val="nil"/>
              <w:left w:val="single" w:color="000000" w:sz="8" w:space="0"/>
              <w:bottom w:val="single" w:color="000000" w:sz="8" w:space="0"/>
              <w:right w:val="single" w:color="000000" w:sz="8" w:space="0"/>
            </w:tcBorders>
            <w:shd w:val="clear" w:color="auto" w:fill="auto"/>
          </w:tcPr>
          <w:p w14:paraId="129A0F6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1.192</w:t>
            </w:r>
          </w:p>
        </w:tc>
        <w:tc>
          <w:tcPr>
            <w:tcW w:w="2841" w:type="dxa"/>
            <w:tcBorders>
              <w:top w:val="nil"/>
              <w:left w:val="single" w:color="000000" w:sz="8" w:space="0"/>
              <w:bottom w:val="single" w:color="000000" w:sz="8" w:space="0"/>
              <w:right w:val="single" w:color="000000" w:sz="8" w:space="0"/>
            </w:tcBorders>
            <w:shd w:val="clear" w:color="auto" w:fill="auto"/>
          </w:tcPr>
          <w:p w14:paraId="1A7F82C4">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9.15</w:t>
            </w:r>
          </w:p>
        </w:tc>
      </w:tr>
      <w:tr w14:paraId="56106A3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3784D3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-19</w:t>
            </w:r>
          </w:p>
        </w:tc>
        <w:tc>
          <w:tcPr>
            <w:tcW w:w="2841" w:type="dxa"/>
            <w:tcBorders>
              <w:top w:val="nil"/>
              <w:left w:val="single" w:color="000000" w:sz="8" w:space="0"/>
              <w:bottom w:val="single" w:color="000000" w:sz="8" w:space="0"/>
              <w:right w:val="single" w:color="000000" w:sz="8" w:space="0"/>
            </w:tcBorders>
            <w:shd w:val="clear" w:color="auto" w:fill="auto"/>
          </w:tcPr>
          <w:p w14:paraId="742D135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1.385</w:t>
            </w:r>
          </w:p>
        </w:tc>
        <w:tc>
          <w:tcPr>
            <w:tcW w:w="2841" w:type="dxa"/>
            <w:tcBorders>
              <w:top w:val="nil"/>
              <w:left w:val="single" w:color="000000" w:sz="8" w:space="0"/>
              <w:bottom w:val="single" w:color="000000" w:sz="8" w:space="0"/>
              <w:right w:val="single" w:color="000000" w:sz="8" w:space="0"/>
            </w:tcBorders>
            <w:shd w:val="clear" w:color="auto" w:fill="auto"/>
          </w:tcPr>
          <w:p w14:paraId="262BB4F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10.15</w:t>
            </w:r>
          </w:p>
        </w:tc>
      </w:tr>
      <w:tr w14:paraId="5908D878">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770F5A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-18</w:t>
            </w:r>
          </w:p>
        </w:tc>
        <w:tc>
          <w:tcPr>
            <w:tcW w:w="2841" w:type="dxa"/>
            <w:tcBorders>
              <w:top w:val="nil"/>
              <w:left w:val="single" w:color="000000" w:sz="8" w:space="0"/>
              <w:bottom w:val="single" w:color="000000" w:sz="8" w:space="0"/>
              <w:right w:val="single" w:color="000000" w:sz="8" w:space="0"/>
            </w:tcBorders>
            <w:shd w:val="clear" w:color="auto" w:fill="auto"/>
          </w:tcPr>
          <w:p w14:paraId="7CDC238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1.618</w:t>
            </w:r>
          </w:p>
        </w:tc>
        <w:tc>
          <w:tcPr>
            <w:tcW w:w="2841" w:type="dxa"/>
            <w:tcBorders>
              <w:top w:val="nil"/>
              <w:left w:val="single" w:color="000000" w:sz="8" w:space="0"/>
              <w:bottom w:val="single" w:color="000000" w:sz="8" w:space="0"/>
              <w:right w:val="single" w:color="000000" w:sz="8" w:space="0"/>
            </w:tcBorders>
            <w:shd w:val="clear" w:color="auto" w:fill="auto"/>
          </w:tcPr>
          <w:p w14:paraId="63DE7D57">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11.32</w:t>
            </w:r>
          </w:p>
        </w:tc>
      </w:tr>
      <w:tr w14:paraId="55F65CC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C9EB77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-17</w:t>
            </w:r>
          </w:p>
        </w:tc>
        <w:tc>
          <w:tcPr>
            <w:tcW w:w="2841" w:type="dxa"/>
            <w:tcBorders>
              <w:top w:val="nil"/>
              <w:left w:val="single" w:color="000000" w:sz="8" w:space="0"/>
              <w:bottom w:val="single" w:color="000000" w:sz="8" w:space="0"/>
              <w:right w:val="single" w:color="000000" w:sz="8" w:space="0"/>
            </w:tcBorders>
            <w:shd w:val="clear" w:color="auto" w:fill="auto"/>
          </w:tcPr>
          <w:p w14:paraId="7A94411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1.901</w:t>
            </w:r>
          </w:p>
        </w:tc>
        <w:tc>
          <w:tcPr>
            <w:tcW w:w="2841" w:type="dxa"/>
            <w:tcBorders>
              <w:top w:val="nil"/>
              <w:left w:val="single" w:color="000000" w:sz="8" w:space="0"/>
              <w:bottom w:val="single" w:color="000000" w:sz="8" w:space="0"/>
              <w:right w:val="single" w:color="000000" w:sz="8" w:space="0"/>
            </w:tcBorders>
            <w:shd w:val="clear" w:color="auto" w:fill="auto"/>
          </w:tcPr>
          <w:p w14:paraId="3864623F">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12.70</w:t>
            </w:r>
          </w:p>
        </w:tc>
      </w:tr>
      <w:tr w14:paraId="4BF92F8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FFC6AA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-16</w:t>
            </w:r>
          </w:p>
        </w:tc>
        <w:tc>
          <w:tcPr>
            <w:tcW w:w="2841" w:type="dxa"/>
            <w:tcBorders>
              <w:top w:val="nil"/>
              <w:left w:val="single" w:color="000000" w:sz="8" w:space="0"/>
              <w:bottom w:val="single" w:color="000000" w:sz="8" w:space="0"/>
              <w:right w:val="single" w:color="000000" w:sz="8" w:space="0"/>
            </w:tcBorders>
            <w:shd w:val="clear" w:color="auto" w:fill="auto"/>
          </w:tcPr>
          <w:p w14:paraId="06947F3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2.245</w:t>
            </w:r>
          </w:p>
        </w:tc>
        <w:tc>
          <w:tcPr>
            <w:tcW w:w="2841" w:type="dxa"/>
            <w:tcBorders>
              <w:top w:val="nil"/>
              <w:left w:val="single" w:color="000000" w:sz="8" w:space="0"/>
              <w:bottom w:val="single" w:color="000000" w:sz="8" w:space="0"/>
              <w:right w:val="single" w:color="000000" w:sz="8" w:space="0"/>
            </w:tcBorders>
            <w:shd w:val="clear" w:color="auto" w:fill="auto"/>
          </w:tcPr>
          <w:p w14:paraId="2FE45E1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14.33</w:t>
            </w:r>
          </w:p>
        </w:tc>
      </w:tr>
      <w:tr w14:paraId="34D2923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D916705">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-15</w:t>
            </w:r>
          </w:p>
        </w:tc>
        <w:tc>
          <w:tcPr>
            <w:tcW w:w="2841" w:type="dxa"/>
            <w:tcBorders>
              <w:top w:val="nil"/>
              <w:left w:val="single" w:color="000000" w:sz="8" w:space="0"/>
              <w:bottom w:val="single" w:color="000000" w:sz="8" w:space="0"/>
              <w:right w:val="single" w:color="000000" w:sz="8" w:space="0"/>
            </w:tcBorders>
            <w:shd w:val="clear" w:color="auto" w:fill="auto"/>
          </w:tcPr>
          <w:p w14:paraId="6FF96E4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2.665</w:t>
            </w:r>
          </w:p>
        </w:tc>
        <w:tc>
          <w:tcPr>
            <w:tcW w:w="2841" w:type="dxa"/>
            <w:tcBorders>
              <w:top w:val="nil"/>
              <w:left w:val="single" w:color="000000" w:sz="8" w:space="0"/>
              <w:bottom w:val="single" w:color="000000" w:sz="8" w:space="0"/>
              <w:right w:val="single" w:color="000000" w:sz="8" w:space="0"/>
            </w:tcBorders>
            <w:shd w:val="clear" w:color="auto" w:fill="auto"/>
          </w:tcPr>
          <w:p w14:paraId="64464D3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16.28</w:t>
            </w:r>
          </w:p>
        </w:tc>
      </w:tr>
      <w:tr w14:paraId="34DC2B7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9AF43D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-14</w:t>
            </w:r>
          </w:p>
        </w:tc>
        <w:tc>
          <w:tcPr>
            <w:tcW w:w="2841" w:type="dxa"/>
            <w:tcBorders>
              <w:top w:val="nil"/>
              <w:left w:val="single" w:color="000000" w:sz="8" w:space="0"/>
              <w:bottom w:val="single" w:color="000000" w:sz="8" w:space="0"/>
              <w:right w:val="single" w:color="000000" w:sz="8" w:space="0"/>
            </w:tcBorders>
            <w:shd w:val="clear" w:color="auto" w:fill="auto"/>
          </w:tcPr>
          <w:p w14:paraId="3DCF2FA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3.175</w:t>
            </w:r>
          </w:p>
        </w:tc>
        <w:tc>
          <w:tcPr>
            <w:tcW w:w="2841" w:type="dxa"/>
            <w:tcBorders>
              <w:top w:val="nil"/>
              <w:left w:val="single" w:color="000000" w:sz="8" w:space="0"/>
              <w:bottom w:val="single" w:color="000000" w:sz="8" w:space="0"/>
              <w:right w:val="single" w:color="000000" w:sz="8" w:space="0"/>
            </w:tcBorders>
            <w:shd w:val="clear" w:color="auto" w:fill="auto"/>
          </w:tcPr>
          <w:p w14:paraId="53EEEC2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18.61</w:t>
            </w:r>
          </w:p>
        </w:tc>
      </w:tr>
      <w:tr w14:paraId="353EDF0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895192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-13</w:t>
            </w:r>
          </w:p>
        </w:tc>
        <w:tc>
          <w:tcPr>
            <w:tcW w:w="2841" w:type="dxa"/>
            <w:tcBorders>
              <w:top w:val="nil"/>
              <w:left w:val="single" w:color="000000" w:sz="8" w:space="0"/>
              <w:bottom w:val="single" w:color="000000" w:sz="8" w:space="0"/>
              <w:right w:val="single" w:color="000000" w:sz="8" w:space="0"/>
            </w:tcBorders>
            <w:shd w:val="clear" w:color="auto" w:fill="auto"/>
          </w:tcPr>
          <w:p w14:paraId="261C14E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3.788</w:t>
            </w:r>
          </w:p>
        </w:tc>
        <w:tc>
          <w:tcPr>
            <w:tcW w:w="2841" w:type="dxa"/>
            <w:tcBorders>
              <w:top w:val="nil"/>
              <w:left w:val="single" w:color="000000" w:sz="8" w:space="0"/>
              <w:bottom w:val="single" w:color="000000" w:sz="8" w:space="0"/>
              <w:right w:val="single" w:color="000000" w:sz="8" w:space="0"/>
            </w:tcBorders>
            <w:shd w:val="clear" w:color="auto" w:fill="auto"/>
          </w:tcPr>
          <w:p w14:paraId="4960427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21.41</w:t>
            </w:r>
          </w:p>
        </w:tc>
      </w:tr>
      <w:tr w14:paraId="2449813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52657E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-12</w:t>
            </w:r>
          </w:p>
        </w:tc>
        <w:tc>
          <w:tcPr>
            <w:tcW w:w="2841" w:type="dxa"/>
            <w:tcBorders>
              <w:top w:val="nil"/>
              <w:left w:val="single" w:color="000000" w:sz="8" w:space="0"/>
              <w:bottom w:val="single" w:color="000000" w:sz="8" w:space="0"/>
              <w:right w:val="single" w:color="000000" w:sz="8" w:space="0"/>
            </w:tcBorders>
            <w:shd w:val="clear" w:color="auto" w:fill="auto"/>
          </w:tcPr>
          <w:p w14:paraId="0777799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4.507</w:t>
            </w:r>
          </w:p>
        </w:tc>
        <w:tc>
          <w:tcPr>
            <w:tcW w:w="2841" w:type="dxa"/>
            <w:tcBorders>
              <w:top w:val="nil"/>
              <w:left w:val="single" w:color="000000" w:sz="8" w:space="0"/>
              <w:bottom w:val="single" w:color="000000" w:sz="8" w:space="0"/>
              <w:right w:val="single" w:color="000000" w:sz="8" w:space="0"/>
            </w:tcBorders>
            <w:shd w:val="clear" w:color="auto" w:fill="auto"/>
          </w:tcPr>
          <w:p w14:paraId="49A382E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24.73</w:t>
            </w:r>
          </w:p>
        </w:tc>
      </w:tr>
      <w:tr w14:paraId="1D1BC9F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582F97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-11</w:t>
            </w:r>
          </w:p>
        </w:tc>
        <w:tc>
          <w:tcPr>
            <w:tcW w:w="2841" w:type="dxa"/>
            <w:tcBorders>
              <w:top w:val="nil"/>
              <w:left w:val="single" w:color="000000" w:sz="8" w:space="0"/>
              <w:bottom w:val="single" w:color="000000" w:sz="8" w:space="0"/>
              <w:right w:val="single" w:color="000000" w:sz="8" w:space="0"/>
            </w:tcBorders>
            <w:shd w:val="clear" w:color="auto" w:fill="auto"/>
          </w:tcPr>
          <w:p w14:paraId="65D1A72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5.318</w:t>
            </w:r>
          </w:p>
        </w:tc>
        <w:tc>
          <w:tcPr>
            <w:tcW w:w="2841" w:type="dxa"/>
            <w:tcBorders>
              <w:top w:val="nil"/>
              <w:left w:val="single" w:color="000000" w:sz="8" w:space="0"/>
              <w:bottom w:val="single" w:color="000000" w:sz="8" w:space="0"/>
              <w:right w:val="single" w:color="000000" w:sz="8" w:space="0"/>
            </w:tcBorders>
            <w:shd w:val="clear" w:color="auto" w:fill="auto"/>
          </w:tcPr>
          <w:p w14:paraId="1A0EEAC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28.60</w:t>
            </w:r>
          </w:p>
        </w:tc>
      </w:tr>
      <w:tr w14:paraId="6A371E3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16E46A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-10</w:t>
            </w:r>
          </w:p>
        </w:tc>
        <w:tc>
          <w:tcPr>
            <w:tcW w:w="2841" w:type="dxa"/>
            <w:tcBorders>
              <w:top w:val="nil"/>
              <w:left w:val="single" w:color="000000" w:sz="8" w:space="0"/>
              <w:bottom w:val="single" w:color="000000" w:sz="8" w:space="0"/>
              <w:right w:val="single" w:color="000000" w:sz="8" w:space="0"/>
            </w:tcBorders>
            <w:shd w:val="clear" w:color="auto" w:fill="auto"/>
          </w:tcPr>
          <w:p w14:paraId="1A3F109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6.168</w:t>
            </w:r>
          </w:p>
        </w:tc>
        <w:tc>
          <w:tcPr>
            <w:tcW w:w="2841" w:type="dxa"/>
            <w:tcBorders>
              <w:top w:val="nil"/>
              <w:left w:val="single" w:color="000000" w:sz="8" w:space="0"/>
              <w:bottom w:val="single" w:color="000000" w:sz="8" w:space="0"/>
              <w:right w:val="single" w:color="000000" w:sz="8" w:space="0"/>
            </w:tcBorders>
            <w:shd w:val="clear" w:color="auto" w:fill="auto"/>
          </w:tcPr>
          <w:p w14:paraId="3321A2A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32.96</w:t>
            </w:r>
          </w:p>
        </w:tc>
      </w:tr>
      <w:tr w14:paraId="14D57CA5">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573D18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-9</w:t>
            </w:r>
          </w:p>
        </w:tc>
        <w:tc>
          <w:tcPr>
            <w:tcW w:w="2841" w:type="dxa"/>
            <w:tcBorders>
              <w:top w:val="nil"/>
              <w:left w:val="single" w:color="000000" w:sz="8" w:space="0"/>
              <w:bottom w:val="single" w:color="000000" w:sz="8" w:space="0"/>
              <w:right w:val="single" w:color="000000" w:sz="8" w:space="0"/>
            </w:tcBorders>
            <w:shd w:val="clear" w:color="auto" w:fill="auto"/>
          </w:tcPr>
          <w:p w14:paraId="0C76845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6.943</w:t>
            </w:r>
          </w:p>
        </w:tc>
        <w:tc>
          <w:tcPr>
            <w:tcW w:w="2841" w:type="dxa"/>
            <w:tcBorders>
              <w:top w:val="nil"/>
              <w:left w:val="single" w:color="000000" w:sz="8" w:space="0"/>
              <w:bottom w:val="single" w:color="000000" w:sz="8" w:space="0"/>
              <w:right w:val="single" w:color="000000" w:sz="8" w:space="0"/>
            </w:tcBorders>
            <w:shd w:val="clear" w:color="auto" w:fill="auto"/>
          </w:tcPr>
          <w:p w14:paraId="6E187D73">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37.53</w:t>
            </w:r>
          </w:p>
        </w:tc>
      </w:tr>
      <w:tr w14:paraId="2E823D5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BDAFDF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-8</w:t>
            </w:r>
          </w:p>
        </w:tc>
        <w:tc>
          <w:tcPr>
            <w:tcW w:w="2841" w:type="dxa"/>
            <w:tcBorders>
              <w:top w:val="nil"/>
              <w:left w:val="single" w:color="000000" w:sz="8" w:space="0"/>
              <w:bottom w:val="single" w:color="000000" w:sz="8" w:space="0"/>
              <w:right w:val="single" w:color="000000" w:sz="8" w:space="0"/>
            </w:tcBorders>
            <w:shd w:val="clear" w:color="auto" w:fill="auto"/>
          </w:tcPr>
          <w:p w14:paraId="0A85C8D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7.476</w:t>
            </w:r>
          </w:p>
        </w:tc>
        <w:tc>
          <w:tcPr>
            <w:tcW w:w="2841" w:type="dxa"/>
            <w:tcBorders>
              <w:top w:val="nil"/>
              <w:left w:val="single" w:color="000000" w:sz="8" w:space="0"/>
              <w:bottom w:val="single" w:color="000000" w:sz="8" w:space="0"/>
              <w:right w:val="single" w:color="000000" w:sz="8" w:space="0"/>
            </w:tcBorders>
            <w:shd w:val="clear" w:color="auto" w:fill="auto"/>
          </w:tcPr>
          <w:p w14:paraId="7B3EAC8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41.77</w:t>
            </w:r>
          </w:p>
        </w:tc>
      </w:tr>
      <w:tr w14:paraId="586C82D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C3A71B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w:t>
            </w:r>
          </w:p>
        </w:tc>
        <w:tc>
          <w:tcPr>
            <w:tcW w:w="2841" w:type="dxa"/>
            <w:tcBorders>
              <w:top w:val="nil"/>
              <w:left w:val="single" w:color="000000" w:sz="8" w:space="0"/>
              <w:bottom w:val="single" w:color="000000" w:sz="8" w:space="0"/>
              <w:right w:val="single" w:color="000000" w:sz="8" w:space="0"/>
            </w:tcBorders>
            <w:shd w:val="clear" w:color="auto" w:fill="auto"/>
          </w:tcPr>
          <w:p w14:paraId="3BDC329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7.592</w:t>
            </w:r>
          </w:p>
        </w:tc>
        <w:tc>
          <w:tcPr>
            <w:tcW w:w="2841" w:type="dxa"/>
            <w:tcBorders>
              <w:top w:val="nil"/>
              <w:left w:val="single" w:color="000000" w:sz="8" w:space="0"/>
              <w:bottom w:val="single" w:color="000000" w:sz="8" w:space="0"/>
              <w:right w:val="single" w:color="000000" w:sz="8" w:space="0"/>
            </w:tcBorders>
            <w:shd w:val="clear" w:color="auto" w:fill="auto"/>
          </w:tcPr>
          <w:p w14:paraId="5AB5E2C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45.03</w:t>
            </w:r>
          </w:p>
        </w:tc>
      </w:tr>
      <w:tr w14:paraId="321AEBD2">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A9DFF6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w:t>
            </w:r>
          </w:p>
        </w:tc>
        <w:tc>
          <w:tcPr>
            <w:tcW w:w="2841" w:type="dxa"/>
            <w:tcBorders>
              <w:top w:val="nil"/>
              <w:left w:val="single" w:color="000000" w:sz="8" w:space="0"/>
              <w:bottom w:val="single" w:color="000000" w:sz="8" w:space="0"/>
              <w:right w:val="single" w:color="000000" w:sz="8" w:space="0"/>
            </w:tcBorders>
            <w:shd w:val="clear" w:color="auto" w:fill="auto"/>
          </w:tcPr>
          <w:p w14:paraId="1677042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7.219</w:t>
            </w:r>
          </w:p>
        </w:tc>
        <w:tc>
          <w:tcPr>
            <w:tcW w:w="2841" w:type="dxa"/>
            <w:tcBorders>
              <w:top w:val="nil"/>
              <w:left w:val="single" w:color="000000" w:sz="8" w:space="0"/>
              <w:bottom w:val="single" w:color="000000" w:sz="8" w:space="0"/>
              <w:right w:val="single" w:color="000000" w:sz="8" w:space="0"/>
            </w:tcBorders>
            <w:shd w:val="clear" w:color="auto" w:fill="auto"/>
          </w:tcPr>
          <w:p w14:paraId="7FFB051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46.84</w:t>
            </w:r>
          </w:p>
        </w:tc>
      </w:tr>
      <w:tr w14:paraId="6B1B745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FE506F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w:t>
            </w:r>
          </w:p>
        </w:tc>
        <w:tc>
          <w:tcPr>
            <w:tcW w:w="2841" w:type="dxa"/>
            <w:tcBorders>
              <w:top w:val="nil"/>
              <w:left w:val="single" w:color="000000" w:sz="8" w:space="0"/>
              <w:bottom w:val="single" w:color="000000" w:sz="8" w:space="0"/>
              <w:right w:val="single" w:color="000000" w:sz="8" w:space="0"/>
            </w:tcBorders>
            <w:shd w:val="clear" w:color="auto" w:fill="auto"/>
          </w:tcPr>
          <w:p w14:paraId="0B52003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6.428</w:t>
            </w:r>
          </w:p>
        </w:tc>
        <w:tc>
          <w:tcPr>
            <w:tcW w:w="2841" w:type="dxa"/>
            <w:tcBorders>
              <w:top w:val="nil"/>
              <w:left w:val="single" w:color="000000" w:sz="8" w:space="0"/>
              <w:bottom w:val="single" w:color="000000" w:sz="8" w:space="0"/>
              <w:right w:val="single" w:color="000000" w:sz="8" w:space="0"/>
            </w:tcBorders>
            <w:shd w:val="clear" w:color="auto" w:fill="auto"/>
          </w:tcPr>
          <w:p w14:paraId="0F956D6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47.20</w:t>
            </w:r>
          </w:p>
        </w:tc>
      </w:tr>
      <w:tr w14:paraId="2BB1A42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D7355C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w:t>
            </w:r>
          </w:p>
        </w:tc>
        <w:tc>
          <w:tcPr>
            <w:tcW w:w="2841" w:type="dxa"/>
            <w:tcBorders>
              <w:top w:val="nil"/>
              <w:left w:val="single" w:color="000000" w:sz="8" w:space="0"/>
              <w:bottom w:val="single" w:color="000000" w:sz="8" w:space="0"/>
              <w:right w:val="single" w:color="000000" w:sz="8" w:space="0"/>
            </w:tcBorders>
            <w:shd w:val="clear" w:color="auto" w:fill="auto"/>
          </w:tcPr>
          <w:p w14:paraId="1C2D2BA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5.393</w:t>
            </w:r>
          </w:p>
        </w:tc>
        <w:tc>
          <w:tcPr>
            <w:tcW w:w="2841" w:type="dxa"/>
            <w:tcBorders>
              <w:top w:val="nil"/>
              <w:left w:val="single" w:color="000000" w:sz="8" w:space="0"/>
              <w:bottom w:val="single" w:color="000000" w:sz="8" w:space="0"/>
              <w:right w:val="single" w:color="000000" w:sz="8" w:space="0"/>
            </w:tcBorders>
            <w:shd w:val="clear" w:color="auto" w:fill="auto"/>
          </w:tcPr>
          <w:p w14:paraId="2EFE225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46.55</w:t>
            </w:r>
          </w:p>
        </w:tc>
      </w:tr>
      <w:tr w14:paraId="63D29AD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C1DC03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w:t>
            </w:r>
          </w:p>
        </w:tc>
        <w:tc>
          <w:tcPr>
            <w:tcW w:w="2841" w:type="dxa"/>
            <w:tcBorders>
              <w:top w:val="nil"/>
              <w:left w:val="single" w:color="000000" w:sz="8" w:space="0"/>
              <w:bottom w:val="single" w:color="000000" w:sz="8" w:space="0"/>
              <w:right w:val="single" w:color="000000" w:sz="8" w:space="0"/>
            </w:tcBorders>
            <w:shd w:val="clear" w:color="auto" w:fill="auto"/>
          </w:tcPr>
          <w:p w14:paraId="16044C5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4.282</w:t>
            </w:r>
          </w:p>
        </w:tc>
        <w:tc>
          <w:tcPr>
            <w:tcW w:w="2841" w:type="dxa"/>
            <w:tcBorders>
              <w:top w:val="nil"/>
              <w:left w:val="single" w:color="000000" w:sz="8" w:space="0"/>
              <w:bottom w:val="single" w:color="000000" w:sz="8" w:space="0"/>
              <w:right w:val="single" w:color="000000" w:sz="8" w:space="0"/>
            </w:tcBorders>
            <w:shd w:val="clear" w:color="auto" w:fill="auto"/>
          </w:tcPr>
          <w:p w14:paraId="3AEFBD3F">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45.44</w:t>
            </w:r>
          </w:p>
        </w:tc>
      </w:tr>
      <w:tr w14:paraId="687CB2E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AA7F17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w:t>
            </w:r>
          </w:p>
        </w:tc>
        <w:tc>
          <w:tcPr>
            <w:tcW w:w="2841" w:type="dxa"/>
            <w:tcBorders>
              <w:top w:val="nil"/>
              <w:left w:val="single" w:color="000000" w:sz="8" w:space="0"/>
              <w:bottom w:val="single" w:color="000000" w:sz="8" w:space="0"/>
              <w:right w:val="single" w:color="000000" w:sz="8" w:space="0"/>
            </w:tcBorders>
            <w:shd w:val="clear" w:color="auto" w:fill="auto"/>
          </w:tcPr>
          <w:p w14:paraId="31FEC16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3.225</w:t>
            </w:r>
          </w:p>
        </w:tc>
        <w:tc>
          <w:tcPr>
            <w:tcW w:w="2841" w:type="dxa"/>
            <w:tcBorders>
              <w:top w:val="nil"/>
              <w:left w:val="single" w:color="000000" w:sz="8" w:space="0"/>
              <w:bottom w:val="single" w:color="000000" w:sz="8" w:space="0"/>
              <w:right w:val="single" w:color="000000" w:sz="8" w:space="0"/>
            </w:tcBorders>
            <w:shd w:val="clear" w:color="auto" w:fill="auto"/>
          </w:tcPr>
          <w:p w14:paraId="02836CB7">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44.27</w:t>
            </w:r>
          </w:p>
        </w:tc>
      </w:tr>
      <w:tr w14:paraId="0363E3C2">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76DA74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w:t>
            </w:r>
          </w:p>
        </w:tc>
        <w:tc>
          <w:tcPr>
            <w:tcW w:w="2841" w:type="dxa"/>
            <w:tcBorders>
              <w:top w:val="nil"/>
              <w:left w:val="single" w:color="000000" w:sz="8" w:space="0"/>
              <w:bottom w:val="single" w:color="000000" w:sz="8" w:space="0"/>
              <w:right w:val="single" w:color="000000" w:sz="8" w:space="0"/>
            </w:tcBorders>
            <w:shd w:val="clear" w:color="auto" w:fill="auto"/>
          </w:tcPr>
          <w:p w14:paraId="5643AA3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2.329</w:t>
            </w:r>
          </w:p>
        </w:tc>
        <w:tc>
          <w:tcPr>
            <w:tcW w:w="2841" w:type="dxa"/>
            <w:tcBorders>
              <w:top w:val="nil"/>
              <w:left w:val="single" w:color="000000" w:sz="8" w:space="0"/>
              <w:bottom w:val="single" w:color="000000" w:sz="8" w:space="0"/>
              <w:right w:val="single" w:color="000000" w:sz="8" w:space="0"/>
            </w:tcBorders>
            <w:shd w:val="clear" w:color="auto" w:fill="auto"/>
          </w:tcPr>
          <w:p w14:paraId="609F668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43.30</w:t>
            </w:r>
          </w:p>
        </w:tc>
      </w:tr>
      <w:tr w14:paraId="286B255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0D006C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w:t>
            </w:r>
          </w:p>
        </w:tc>
        <w:tc>
          <w:tcPr>
            <w:tcW w:w="2841" w:type="dxa"/>
            <w:tcBorders>
              <w:top w:val="nil"/>
              <w:left w:val="single" w:color="000000" w:sz="8" w:space="0"/>
              <w:bottom w:val="single" w:color="000000" w:sz="8" w:space="0"/>
              <w:right w:val="single" w:color="000000" w:sz="8" w:space="0"/>
            </w:tcBorders>
            <w:shd w:val="clear" w:color="auto" w:fill="auto"/>
          </w:tcPr>
          <w:p w14:paraId="431F723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1.784</w:t>
            </w:r>
          </w:p>
        </w:tc>
        <w:tc>
          <w:tcPr>
            <w:tcW w:w="2841" w:type="dxa"/>
            <w:tcBorders>
              <w:top w:val="nil"/>
              <w:left w:val="single" w:color="000000" w:sz="8" w:space="0"/>
              <w:bottom w:val="single" w:color="000000" w:sz="8" w:space="0"/>
              <w:right w:val="single" w:color="000000" w:sz="8" w:space="0"/>
            </w:tcBorders>
            <w:shd w:val="clear" w:color="auto" w:fill="auto"/>
          </w:tcPr>
          <w:p w14:paraId="2A0E8E0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42.67</w:t>
            </w:r>
          </w:p>
        </w:tc>
      </w:tr>
      <w:tr w14:paraId="422C64D4">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135D8D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w:t>
            </w:r>
          </w:p>
        </w:tc>
        <w:tc>
          <w:tcPr>
            <w:tcW w:w="2841" w:type="dxa"/>
            <w:tcBorders>
              <w:top w:val="nil"/>
              <w:left w:val="single" w:color="000000" w:sz="8" w:space="0"/>
              <w:bottom w:val="single" w:color="000000" w:sz="8" w:space="0"/>
              <w:right w:val="single" w:color="000000" w:sz="8" w:space="0"/>
            </w:tcBorders>
            <w:shd w:val="clear" w:color="auto" w:fill="auto"/>
          </w:tcPr>
          <w:p w14:paraId="161EE45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1.868</w:t>
            </w:r>
          </w:p>
        </w:tc>
        <w:tc>
          <w:tcPr>
            <w:tcW w:w="2841" w:type="dxa"/>
            <w:tcBorders>
              <w:top w:val="nil"/>
              <w:left w:val="single" w:color="000000" w:sz="8" w:space="0"/>
              <w:bottom w:val="single" w:color="000000" w:sz="8" w:space="0"/>
              <w:right w:val="single" w:color="000000" w:sz="8" w:space="0"/>
            </w:tcBorders>
            <w:shd w:val="clear" w:color="auto" w:fill="auto"/>
          </w:tcPr>
          <w:p w14:paraId="0967B3D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42.42</w:t>
            </w:r>
          </w:p>
        </w:tc>
      </w:tr>
      <w:tr w14:paraId="61A451C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46740C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w:t>
            </w:r>
          </w:p>
        </w:tc>
        <w:tc>
          <w:tcPr>
            <w:tcW w:w="2841" w:type="dxa"/>
            <w:tcBorders>
              <w:top w:val="nil"/>
              <w:left w:val="single" w:color="000000" w:sz="8" w:space="0"/>
              <w:bottom w:val="single" w:color="000000" w:sz="8" w:space="0"/>
              <w:right w:val="single" w:color="000000" w:sz="8" w:space="0"/>
            </w:tcBorders>
            <w:shd w:val="clear" w:color="auto" w:fill="auto"/>
          </w:tcPr>
          <w:p w14:paraId="764D4C8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2.524</w:t>
            </w:r>
          </w:p>
        </w:tc>
        <w:tc>
          <w:tcPr>
            <w:tcW w:w="2841" w:type="dxa"/>
            <w:tcBorders>
              <w:top w:val="nil"/>
              <w:left w:val="single" w:color="000000" w:sz="8" w:space="0"/>
              <w:bottom w:val="single" w:color="000000" w:sz="8" w:space="0"/>
              <w:right w:val="single" w:color="000000" w:sz="8" w:space="0"/>
            </w:tcBorders>
            <w:shd w:val="clear" w:color="auto" w:fill="auto"/>
          </w:tcPr>
          <w:p w14:paraId="4770FAE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42.53</w:t>
            </w:r>
          </w:p>
        </w:tc>
      </w:tr>
      <w:tr w14:paraId="469472C6">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A373C7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w:t>
            </w:r>
          </w:p>
        </w:tc>
        <w:tc>
          <w:tcPr>
            <w:tcW w:w="2841" w:type="dxa"/>
            <w:tcBorders>
              <w:top w:val="nil"/>
              <w:left w:val="single" w:color="000000" w:sz="8" w:space="0"/>
              <w:bottom w:val="single" w:color="000000" w:sz="8" w:space="0"/>
              <w:right w:val="single" w:color="000000" w:sz="8" w:space="0"/>
            </w:tcBorders>
            <w:shd w:val="clear" w:color="auto" w:fill="auto"/>
          </w:tcPr>
          <w:p w14:paraId="4741258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3.463</w:t>
            </w:r>
          </w:p>
        </w:tc>
        <w:tc>
          <w:tcPr>
            <w:tcW w:w="2841" w:type="dxa"/>
            <w:tcBorders>
              <w:top w:val="nil"/>
              <w:left w:val="single" w:color="000000" w:sz="8" w:space="0"/>
              <w:bottom w:val="single" w:color="000000" w:sz="8" w:space="0"/>
              <w:right w:val="single" w:color="000000" w:sz="8" w:space="0"/>
            </w:tcBorders>
            <w:shd w:val="clear" w:color="auto" w:fill="auto"/>
          </w:tcPr>
          <w:p w14:paraId="423FA9C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42.92</w:t>
            </w:r>
          </w:p>
        </w:tc>
      </w:tr>
      <w:tr w14:paraId="6CE43699">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6FC7CD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w:t>
            </w:r>
          </w:p>
        </w:tc>
        <w:tc>
          <w:tcPr>
            <w:tcW w:w="2841" w:type="dxa"/>
            <w:tcBorders>
              <w:top w:val="nil"/>
              <w:left w:val="single" w:color="000000" w:sz="8" w:space="0"/>
              <w:bottom w:val="single" w:color="000000" w:sz="8" w:space="0"/>
              <w:right w:val="single" w:color="000000" w:sz="8" w:space="0"/>
            </w:tcBorders>
            <w:shd w:val="clear" w:color="auto" w:fill="auto"/>
          </w:tcPr>
          <w:p w14:paraId="2A19188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4.505</w:t>
            </w:r>
          </w:p>
        </w:tc>
        <w:tc>
          <w:tcPr>
            <w:tcW w:w="2841" w:type="dxa"/>
            <w:tcBorders>
              <w:top w:val="nil"/>
              <w:left w:val="single" w:color="000000" w:sz="8" w:space="0"/>
              <w:bottom w:val="single" w:color="000000" w:sz="8" w:space="0"/>
              <w:right w:val="single" w:color="000000" w:sz="8" w:space="0"/>
            </w:tcBorders>
            <w:shd w:val="clear" w:color="auto" w:fill="auto"/>
          </w:tcPr>
          <w:p w14:paraId="0C4126BD">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43.38</w:t>
            </w:r>
          </w:p>
        </w:tc>
      </w:tr>
      <w:tr w14:paraId="3CB49454">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54FC47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w:t>
            </w:r>
          </w:p>
        </w:tc>
        <w:tc>
          <w:tcPr>
            <w:tcW w:w="2841" w:type="dxa"/>
            <w:tcBorders>
              <w:top w:val="nil"/>
              <w:left w:val="single" w:color="000000" w:sz="8" w:space="0"/>
              <w:bottom w:val="single" w:color="000000" w:sz="8" w:space="0"/>
              <w:right w:val="single" w:color="000000" w:sz="8" w:space="0"/>
            </w:tcBorders>
            <w:shd w:val="clear" w:color="auto" w:fill="auto"/>
          </w:tcPr>
          <w:p w14:paraId="54F14DF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5.503</w:t>
            </w:r>
          </w:p>
        </w:tc>
        <w:tc>
          <w:tcPr>
            <w:tcW w:w="2841" w:type="dxa"/>
            <w:tcBorders>
              <w:top w:val="nil"/>
              <w:left w:val="single" w:color="000000" w:sz="8" w:space="0"/>
              <w:bottom w:val="single" w:color="000000" w:sz="8" w:space="0"/>
              <w:right w:val="single" w:color="000000" w:sz="8" w:space="0"/>
            </w:tcBorders>
            <w:shd w:val="clear" w:color="auto" w:fill="auto"/>
          </w:tcPr>
          <w:p w14:paraId="3E4E415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43.58</w:t>
            </w:r>
          </w:p>
        </w:tc>
      </w:tr>
      <w:tr w14:paraId="54A8778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F08421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w:t>
            </w:r>
          </w:p>
        </w:tc>
        <w:tc>
          <w:tcPr>
            <w:tcW w:w="2841" w:type="dxa"/>
            <w:tcBorders>
              <w:top w:val="nil"/>
              <w:left w:val="single" w:color="000000" w:sz="8" w:space="0"/>
              <w:bottom w:val="single" w:color="000000" w:sz="8" w:space="0"/>
              <w:right w:val="single" w:color="000000" w:sz="8" w:space="0"/>
            </w:tcBorders>
            <w:shd w:val="clear" w:color="auto" w:fill="auto"/>
          </w:tcPr>
          <w:p w14:paraId="6E5FB27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6.278</w:t>
            </w:r>
          </w:p>
        </w:tc>
        <w:tc>
          <w:tcPr>
            <w:tcW w:w="2841" w:type="dxa"/>
            <w:tcBorders>
              <w:top w:val="nil"/>
              <w:left w:val="single" w:color="000000" w:sz="8" w:space="0"/>
              <w:bottom w:val="single" w:color="000000" w:sz="8" w:space="0"/>
              <w:right w:val="single" w:color="000000" w:sz="8" w:space="0"/>
            </w:tcBorders>
            <w:shd w:val="clear" w:color="auto" w:fill="auto"/>
          </w:tcPr>
          <w:p w14:paraId="27CA561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43.03</w:t>
            </w:r>
          </w:p>
        </w:tc>
      </w:tr>
      <w:tr w14:paraId="22EA088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73F559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w:t>
            </w:r>
          </w:p>
        </w:tc>
        <w:tc>
          <w:tcPr>
            <w:tcW w:w="2841" w:type="dxa"/>
            <w:tcBorders>
              <w:top w:val="nil"/>
              <w:left w:val="single" w:color="000000" w:sz="8" w:space="0"/>
              <w:bottom w:val="single" w:color="000000" w:sz="8" w:space="0"/>
              <w:right w:val="single" w:color="000000" w:sz="8" w:space="0"/>
            </w:tcBorders>
            <w:shd w:val="clear" w:color="auto" w:fill="auto"/>
          </w:tcPr>
          <w:p w14:paraId="631A333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6.651</w:t>
            </w:r>
          </w:p>
        </w:tc>
        <w:tc>
          <w:tcPr>
            <w:tcW w:w="2841" w:type="dxa"/>
            <w:tcBorders>
              <w:top w:val="nil"/>
              <w:left w:val="single" w:color="000000" w:sz="8" w:space="0"/>
              <w:bottom w:val="single" w:color="000000" w:sz="8" w:space="0"/>
              <w:right w:val="single" w:color="000000" w:sz="8" w:space="0"/>
            </w:tcBorders>
            <w:shd w:val="clear" w:color="auto" w:fill="auto"/>
          </w:tcPr>
          <w:p w14:paraId="2FBE8BC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41.35</w:t>
            </w:r>
          </w:p>
        </w:tc>
      </w:tr>
      <w:tr w14:paraId="5E6D96A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347116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8</w:t>
            </w:r>
          </w:p>
        </w:tc>
        <w:tc>
          <w:tcPr>
            <w:tcW w:w="2841" w:type="dxa"/>
            <w:tcBorders>
              <w:top w:val="nil"/>
              <w:left w:val="single" w:color="000000" w:sz="8" w:space="0"/>
              <w:bottom w:val="single" w:color="000000" w:sz="8" w:space="0"/>
              <w:right w:val="single" w:color="000000" w:sz="8" w:space="0"/>
            </w:tcBorders>
            <w:shd w:val="clear" w:color="auto" w:fill="auto"/>
          </w:tcPr>
          <w:p w14:paraId="77BD3CF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6.545</w:t>
            </w:r>
          </w:p>
        </w:tc>
        <w:tc>
          <w:tcPr>
            <w:tcW w:w="2841" w:type="dxa"/>
            <w:tcBorders>
              <w:top w:val="nil"/>
              <w:left w:val="single" w:color="000000" w:sz="8" w:space="0"/>
              <w:bottom w:val="single" w:color="000000" w:sz="8" w:space="0"/>
              <w:right w:val="single" w:color="000000" w:sz="8" w:space="0"/>
            </w:tcBorders>
            <w:shd w:val="clear" w:color="auto" w:fill="auto"/>
          </w:tcPr>
          <w:p w14:paraId="22AB3E2D">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38.47</w:t>
            </w:r>
          </w:p>
        </w:tc>
      </w:tr>
      <w:tr w14:paraId="1B700E5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ED8ED7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9</w:t>
            </w:r>
          </w:p>
        </w:tc>
        <w:tc>
          <w:tcPr>
            <w:tcW w:w="2841" w:type="dxa"/>
            <w:tcBorders>
              <w:top w:val="nil"/>
              <w:left w:val="single" w:color="000000" w:sz="8" w:space="0"/>
              <w:bottom w:val="single" w:color="000000" w:sz="8" w:space="0"/>
              <w:right w:val="single" w:color="000000" w:sz="8" w:space="0"/>
            </w:tcBorders>
            <w:shd w:val="clear" w:color="auto" w:fill="auto"/>
          </w:tcPr>
          <w:p w14:paraId="274E495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6.033</w:t>
            </w:r>
          </w:p>
        </w:tc>
        <w:tc>
          <w:tcPr>
            <w:tcW w:w="2841" w:type="dxa"/>
            <w:tcBorders>
              <w:top w:val="nil"/>
              <w:left w:val="single" w:color="000000" w:sz="8" w:space="0"/>
              <w:bottom w:val="single" w:color="000000" w:sz="8" w:space="0"/>
              <w:right w:val="single" w:color="000000" w:sz="8" w:space="0"/>
            </w:tcBorders>
            <w:shd w:val="clear" w:color="auto" w:fill="auto"/>
          </w:tcPr>
          <w:p w14:paraId="09A7B4B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34.75</w:t>
            </w:r>
          </w:p>
        </w:tc>
      </w:tr>
      <w:tr w14:paraId="3D4F92D1">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FF1540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10</w:t>
            </w:r>
          </w:p>
        </w:tc>
        <w:tc>
          <w:tcPr>
            <w:tcW w:w="2841" w:type="dxa"/>
            <w:tcBorders>
              <w:top w:val="nil"/>
              <w:left w:val="single" w:color="000000" w:sz="8" w:space="0"/>
              <w:bottom w:val="single" w:color="000000" w:sz="8" w:space="0"/>
              <w:right w:val="single" w:color="000000" w:sz="8" w:space="0"/>
            </w:tcBorders>
            <w:shd w:val="clear" w:color="auto" w:fill="auto"/>
          </w:tcPr>
          <w:p w14:paraId="366ED1A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5.293</w:t>
            </w:r>
          </w:p>
        </w:tc>
        <w:tc>
          <w:tcPr>
            <w:tcW w:w="2841" w:type="dxa"/>
            <w:tcBorders>
              <w:top w:val="nil"/>
              <w:left w:val="single" w:color="000000" w:sz="8" w:space="0"/>
              <w:bottom w:val="single" w:color="000000" w:sz="8" w:space="0"/>
              <w:right w:val="single" w:color="000000" w:sz="8" w:space="0"/>
            </w:tcBorders>
            <w:shd w:val="clear" w:color="auto" w:fill="auto"/>
          </w:tcPr>
          <w:p w14:paraId="14A041E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30.74</w:t>
            </w:r>
          </w:p>
        </w:tc>
      </w:tr>
      <w:tr w14:paraId="5F0A9F88">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5943C5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11</w:t>
            </w:r>
          </w:p>
        </w:tc>
        <w:tc>
          <w:tcPr>
            <w:tcW w:w="2841" w:type="dxa"/>
            <w:tcBorders>
              <w:top w:val="nil"/>
              <w:left w:val="single" w:color="000000" w:sz="8" w:space="0"/>
              <w:bottom w:val="single" w:color="000000" w:sz="8" w:space="0"/>
              <w:right w:val="single" w:color="000000" w:sz="8" w:space="0"/>
            </w:tcBorders>
            <w:shd w:val="clear" w:color="auto" w:fill="auto"/>
          </w:tcPr>
          <w:p w14:paraId="0ECFF53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4.494</w:t>
            </w:r>
          </w:p>
        </w:tc>
        <w:tc>
          <w:tcPr>
            <w:tcW w:w="2841" w:type="dxa"/>
            <w:tcBorders>
              <w:top w:val="nil"/>
              <w:left w:val="single" w:color="000000" w:sz="8" w:space="0"/>
              <w:bottom w:val="single" w:color="000000" w:sz="8" w:space="0"/>
              <w:right w:val="single" w:color="000000" w:sz="8" w:space="0"/>
            </w:tcBorders>
            <w:shd w:val="clear" w:color="auto" w:fill="auto"/>
          </w:tcPr>
          <w:p w14:paraId="6748EBB5">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26.89</w:t>
            </w:r>
          </w:p>
        </w:tc>
      </w:tr>
      <w:tr w14:paraId="08723DF5">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F36E86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12</w:t>
            </w:r>
          </w:p>
        </w:tc>
        <w:tc>
          <w:tcPr>
            <w:tcW w:w="2841" w:type="dxa"/>
            <w:tcBorders>
              <w:top w:val="nil"/>
              <w:left w:val="single" w:color="000000" w:sz="8" w:space="0"/>
              <w:bottom w:val="single" w:color="000000" w:sz="8" w:space="0"/>
              <w:right w:val="single" w:color="000000" w:sz="8" w:space="0"/>
            </w:tcBorders>
            <w:shd w:val="clear" w:color="auto" w:fill="auto"/>
          </w:tcPr>
          <w:p w14:paraId="665D133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3.748</w:t>
            </w:r>
          </w:p>
        </w:tc>
        <w:tc>
          <w:tcPr>
            <w:tcW w:w="2841" w:type="dxa"/>
            <w:tcBorders>
              <w:top w:val="nil"/>
              <w:left w:val="single" w:color="000000" w:sz="8" w:space="0"/>
              <w:bottom w:val="single" w:color="000000" w:sz="8" w:space="0"/>
              <w:right w:val="single" w:color="000000" w:sz="8" w:space="0"/>
            </w:tcBorders>
            <w:shd w:val="clear" w:color="auto" w:fill="auto"/>
          </w:tcPr>
          <w:p w14:paraId="1BD83A37">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23.43</w:t>
            </w:r>
          </w:p>
        </w:tc>
      </w:tr>
      <w:tr w14:paraId="221DE8E5">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58AA6C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13</w:t>
            </w:r>
          </w:p>
        </w:tc>
        <w:tc>
          <w:tcPr>
            <w:tcW w:w="2841" w:type="dxa"/>
            <w:tcBorders>
              <w:top w:val="nil"/>
              <w:left w:val="single" w:color="000000" w:sz="8" w:space="0"/>
              <w:bottom w:val="single" w:color="000000" w:sz="8" w:space="0"/>
              <w:right w:val="single" w:color="000000" w:sz="8" w:space="0"/>
            </w:tcBorders>
            <w:shd w:val="clear" w:color="auto" w:fill="auto"/>
          </w:tcPr>
          <w:p w14:paraId="5AF0C93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3.104</w:t>
            </w:r>
          </w:p>
        </w:tc>
        <w:tc>
          <w:tcPr>
            <w:tcW w:w="2841" w:type="dxa"/>
            <w:tcBorders>
              <w:top w:val="nil"/>
              <w:left w:val="single" w:color="000000" w:sz="8" w:space="0"/>
              <w:bottom w:val="single" w:color="000000" w:sz="8" w:space="0"/>
              <w:right w:val="single" w:color="000000" w:sz="8" w:space="0"/>
            </w:tcBorders>
            <w:shd w:val="clear" w:color="auto" w:fill="auto"/>
          </w:tcPr>
          <w:p w14:paraId="2F477CF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20.43</w:t>
            </w:r>
          </w:p>
        </w:tc>
      </w:tr>
      <w:tr w14:paraId="25548B4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45F76E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14</w:t>
            </w:r>
          </w:p>
        </w:tc>
        <w:tc>
          <w:tcPr>
            <w:tcW w:w="2841" w:type="dxa"/>
            <w:tcBorders>
              <w:top w:val="nil"/>
              <w:left w:val="single" w:color="000000" w:sz="8" w:space="0"/>
              <w:bottom w:val="single" w:color="000000" w:sz="8" w:space="0"/>
              <w:right w:val="single" w:color="000000" w:sz="8" w:space="0"/>
            </w:tcBorders>
            <w:shd w:val="clear" w:color="auto" w:fill="auto"/>
          </w:tcPr>
          <w:p w14:paraId="61A1B48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2.573</w:t>
            </w:r>
          </w:p>
        </w:tc>
        <w:tc>
          <w:tcPr>
            <w:tcW w:w="2841" w:type="dxa"/>
            <w:tcBorders>
              <w:top w:val="nil"/>
              <w:left w:val="single" w:color="000000" w:sz="8" w:space="0"/>
              <w:bottom w:val="single" w:color="000000" w:sz="8" w:space="0"/>
              <w:right w:val="single" w:color="000000" w:sz="8" w:space="0"/>
            </w:tcBorders>
            <w:shd w:val="clear" w:color="auto" w:fill="auto"/>
          </w:tcPr>
          <w:p w14:paraId="3A066F0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17.89</w:t>
            </w:r>
          </w:p>
        </w:tc>
      </w:tr>
      <w:tr w14:paraId="225E4215">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471D29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15</w:t>
            </w:r>
          </w:p>
        </w:tc>
        <w:tc>
          <w:tcPr>
            <w:tcW w:w="2841" w:type="dxa"/>
            <w:tcBorders>
              <w:top w:val="nil"/>
              <w:left w:val="single" w:color="000000" w:sz="8" w:space="0"/>
              <w:bottom w:val="single" w:color="000000" w:sz="8" w:space="0"/>
              <w:right w:val="single" w:color="000000" w:sz="8" w:space="0"/>
            </w:tcBorders>
            <w:shd w:val="clear" w:color="auto" w:fill="auto"/>
          </w:tcPr>
          <w:p w14:paraId="065A1D3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2.145</w:t>
            </w:r>
          </w:p>
        </w:tc>
        <w:tc>
          <w:tcPr>
            <w:tcW w:w="2841" w:type="dxa"/>
            <w:tcBorders>
              <w:top w:val="nil"/>
              <w:left w:val="single" w:color="000000" w:sz="8" w:space="0"/>
              <w:bottom w:val="single" w:color="000000" w:sz="8" w:space="0"/>
              <w:right w:val="single" w:color="000000" w:sz="8" w:space="0"/>
            </w:tcBorders>
            <w:shd w:val="clear" w:color="auto" w:fill="auto"/>
          </w:tcPr>
          <w:p w14:paraId="33B628A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15.75</w:t>
            </w:r>
          </w:p>
        </w:tc>
      </w:tr>
      <w:tr w14:paraId="632F8136">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E2B711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16</w:t>
            </w:r>
          </w:p>
        </w:tc>
        <w:tc>
          <w:tcPr>
            <w:tcW w:w="2841" w:type="dxa"/>
            <w:tcBorders>
              <w:top w:val="nil"/>
              <w:left w:val="single" w:color="000000" w:sz="8" w:space="0"/>
              <w:bottom w:val="single" w:color="000000" w:sz="8" w:space="0"/>
              <w:right w:val="single" w:color="000000" w:sz="8" w:space="0"/>
            </w:tcBorders>
            <w:shd w:val="clear" w:color="auto" w:fill="auto"/>
          </w:tcPr>
          <w:p w14:paraId="68C170D8">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1.804</w:t>
            </w:r>
          </w:p>
        </w:tc>
        <w:tc>
          <w:tcPr>
            <w:tcW w:w="2841" w:type="dxa"/>
            <w:tcBorders>
              <w:top w:val="nil"/>
              <w:left w:val="single" w:color="000000" w:sz="8" w:space="0"/>
              <w:bottom w:val="single" w:color="000000" w:sz="8" w:space="0"/>
              <w:right w:val="single" w:color="000000" w:sz="8" w:space="0"/>
            </w:tcBorders>
            <w:shd w:val="clear" w:color="auto" w:fill="auto"/>
          </w:tcPr>
          <w:p w14:paraId="039E9C9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13.94</w:t>
            </w:r>
          </w:p>
        </w:tc>
      </w:tr>
      <w:tr w14:paraId="750D414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C8F020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17</w:t>
            </w:r>
          </w:p>
        </w:tc>
        <w:tc>
          <w:tcPr>
            <w:tcW w:w="2841" w:type="dxa"/>
            <w:tcBorders>
              <w:top w:val="nil"/>
              <w:left w:val="single" w:color="000000" w:sz="8" w:space="0"/>
              <w:bottom w:val="single" w:color="000000" w:sz="8" w:space="0"/>
              <w:right w:val="single" w:color="000000" w:sz="8" w:space="0"/>
            </w:tcBorders>
            <w:shd w:val="clear" w:color="auto" w:fill="auto"/>
          </w:tcPr>
          <w:p w14:paraId="1416BED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1.531</w:t>
            </w:r>
          </w:p>
        </w:tc>
        <w:tc>
          <w:tcPr>
            <w:tcW w:w="2841" w:type="dxa"/>
            <w:tcBorders>
              <w:top w:val="nil"/>
              <w:left w:val="single" w:color="000000" w:sz="8" w:space="0"/>
              <w:bottom w:val="single" w:color="000000" w:sz="8" w:space="0"/>
              <w:right w:val="single" w:color="000000" w:sz="8" w:space="0"/>
            </w:tcBorders>
            <w:shd w:val="clear" w:color="auto" w:fill="auto"/>
          </w:tcPr>
          <w:p w14:paraId="030ECE5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12.41</w:t>
            </w:r>
          </w:p>
        </w:tc>
      </w:tr>
      <w:tr w14:paraId="48A17E0A">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274EFA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18</w:t>
            </w:r>
          </w:p>
        </w:tc>
        <w:tc>
          <w:tcPr>
            <w:tcW w:w="2841" w:type="dxa"/>
            <w:tcBorders>
              <w:top w:val="nil"/>
              <w:left w:val="single" w:color="000000" w:sz="8" w:space="0"/>
              <w:bottom w:val="single" w:color="000000" w:sz="8" w:space="0"/>
              <w:right w:val="single" w:color="000000" w:sz="8" w:space="0"/>
            </w:tcBorders>
            <w:shd w:val="clear" w:color="auto" w:fill="auto"/>
          </w:tcPr>
          <w:p w14:paraId="30207F2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1.313</w:t>
            </w:r>
          </w:p>
        </w:tc>
        <w:tc>
          <w:tcPr>
            <w:tcW w:w="2841" w:type="dxa"/>
            <w:tcBorders>
              <w:top w:val="nil"/>
              <w:left w:val="single" w:color="000000" w:sz="8" w:space="0"/>
              <w:bottom w:val="single" w:color="000000" w:sz="8" w:space="0"/>
              <w:right w:val="single" w:color="000000" w:sz="8" w:space="0"/>
            </w:tcBorders>
            <w:shd w:val="clear" w:color="auto" w:fill="auto"/>
          </w:tcPr>
          <w:p w14:paraId="39CF5E17">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11.10</w:t>
            </w:r>
          </w:p>
        </w:tc>
      </w:tr>
      <w:tr w14:paraId="53E920D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52796F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19</w:t>
            </w:r>
          </w:p>
        </w:tc>
        <w:tc>
          <w:tcPr>
            <w:tcW w:w="2841" w:type="dxa"/>
            <w:tcBorders>
              <w:top w:val="nil"/>
              <w:left w:val="single" w:color="000000" w:sz="8" w:space="0"/>
              <w:bottom w:val="single" w:color="000000" w:sz="8" w:space="0"/>
              <w:right w:val="single" w:color="000000" w:sz="8" w:space="0"/>
            </w:tcBorders>
            <w:shd w:val="clear" w:color="auto" w:fill="auto"/>
          </w:tcPr>
          <w:p w14:paraId="4ACB26E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1.136</w:t>
            </w:r>
          </w:p>
        </w:tc>
        <w:tc>
          <w:tcPr>
            <w:tcW w:w="2841" w:type="dxa"/>
            <w:tcBorders>
              <w:top w:val="nil"/>
              <w:left w:val="single" w:color="000000" w:sz="8" w:space="0"/>
              <w:bottom w:val="single" w:color="000000" w:sz="8" w:space="0"/>
              <w:right w:val="single" w:color="000000" w:sz="8" w:space="0"/>
            </w:tcBorders>
            <w:shd w:val="clear" w:color="auto" w:fill="auto"/>
          </w:tcPr>
          <w:p w14:paraId="0617C42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9.99</w:t>
            </w:r>
          </w:p>
        </w:tc>
      </w:tr>
      <w:tr w14:paraId="41A5D3B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C6C8F7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20</w:t>
            </w:r>
          </w:p>
        </w:tc>
        <w:tc>
          <w:tcPr>
            <w:tcW w:w="2841" w:type="dxa"/>
            <w:tcBorders>
              <w:top w:val="nil"/>
              <w:left w:val="single" w:color="000000" w:sz="8" w:space="0"/>
              <w:bottom w:val="single" w:color="000000" w:sz="8" w:space="0"/>
              <w:right w:val="single" w:color="000000" w:sz="8" w:space="0"/>
            </w:tcBorders>
            <w:shd w:val="clear" w:color="auto" w:fill="auto"/>
          </w:tcPr>
          <w:p w14:paraId="4444259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0.992</w:t>
            </w:r>
          </w:p>
        </w:tc>
        <w:tc>
          <w:tcPr>
            <w:tcW w:w="2841" w:type="dxa"/>
            <w:tcBorders>
              <w:top w:val="nil"/>
              <w:left w:val="single" w:color="000000" w:sz="8" w:space="0"/>
              <w:bottom w:val="single" w:color="000000" w:sz="8" w:space="0"/>
              <w:right w:val="single" w:color="000000" w:sz="8" w:space="0"/>
            </w:tcBorders>
            <w:shd w:val="clear" w:color="auto" w:fill="auto"/>
          </w:tcPr>
          <w:p w14:paraId="3EF75623">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9.03</w:t>
            </w:r>
          </w:p>
        </w:tc>
      </w:tr>
      <w:tr w14:paraId="118383C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008740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21</w:t>
            </w:r>
          </w:p>
        </w:tc>
        <w:tc>
          <w:tcPr>
            <w:tcW w:w="2841" w:type="dxa"/>
            <w:tcBorders>
              <w:top w:val="nil"/>
              <w:left w:val="single" w:color="000000" w:sz="8" w:space="0"/>
              <w:bottom w:val="single" w:color="000000" w:sz="8" w:space="0"/>
              <w:right w:val="single" w:color="000000" w:sz="8" w:space="0"/>
            </w:tcBorders>
            <w:shd w:val="clear" w:color="auto" w:fill="auto"/>
          </w:tcPr>
          <w:p w14:paraId="3246F1E5">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0.873</w:t>
            </w:r>
          </w:p>
        </w:tc>
        <w:tc>
          <w:tcPr>
            <w:tcW w:w="2841" w:type="dxa"/>
            <w:tcBorders>
              <w:top w:val="nil"/>
              <w:left w:val="single" w:color="000000" w:sz="8" w:space="0"/>
              <w:bottom w:val="single" w:color="000000" w:sz="8" w:space="0"/>
              <w:right w:val="single" w:color="000000" w:sz="8" w:space="0"/>
            </w:tcBorders>
            <w:shd w:val="clear" w:color="auto" w:fill="auto"/>
          </w:tcPr>
          <w:p w14:paraId="28A311B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8.20</w:t>
            </w:r>
          </w:p>
        </w:tc>
      </w:tr>
      <w:tr w14:paraId="54FACAEA">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91A66C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22</w:t>
            </w:r>
          </w:p>
        </w:tc>
        <w:tc>
          <w:tcPr>
            <w:tcW w:w="2841" w:type="dxa"/>
            <w:tcBorders>
              <w:top w:val="nil"/>
              <w:left w:val="single" w:color="000000" w:sz="8" w:space="0"/>
              <w:bottom w:val="single" w:color="000000" w:sz="8" w:space="0"/>
              <w:right w:val="single" w:color="000000" w:sz="8" w:space="0"/>
            </w:tcBorders>
            <w:shd w:val="clear" w:color="auto" w:fill="auto"/>
          </w:tcPr>
          <w:p w14:paraId="76ADA6F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0.774</w:t>
            </w:r>
          </w:p>
        </w:tc>
        <w:tc>
          <w:tcPr>
            <w:tcW w:w="2841" w:type="dxa"/>
            <w:tcBorders>
              <w:top w:val="nil"/>
              <w:left w:val="single" w:color="000000" w:sz="8" w:space="0"/>
              <w:bottom w:val="single" w:color="000000" w:sz="8" w:space="0"/>
              <w:right w:val="single" w:color="000000" w:sz="8" w:space="0"/>
            </w:tcBorders>
            <w:shd w:val="clear" w:color="auto" w:fill="auto"/>
          </w:tcPr>
          <w:p w14:paraId="1F9A1A6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7.48</w:t>
            </w:r>
          </w:p>
        </w:tc>
      </w:tr>
      <w:tr w14:paraId="20BB0A7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78F51C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23</w:t>
            </w:r>
          </w:p>
        </w:tc>
        <w:tc>
          <w:tcPr>
            <w:tcW w:w="2841" w:type="dxa"/>
            <w:tcBorders>
              <w:top w:val="nil"/>
              <w:left w:val="single" w:color="000000" w:sz="8" w:space="0"/>
              <w:bottom w:val="single" w:color="000000" w:sz="8" w:space="0"/>
              <w:right w:val="single" w:color="000000" w:sz="8" w:space="0"/>
            </w:tcBorders>
            <w:shd w:val="clear" w:color="auto" w:fill="auto"/>
          </w:tcPr>
          <w:p w14:paraId="4DC9348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0.69</w:t>
            </w:r>
          </w:p>
        </w:tc>
        <w:tc>
          <w:tcPr>
            <w:tcW w:w="2841" w:type="dxa"/>
            <w:tcBorders>
              <w:top w:val="nil"/>
              <w:left w:val="single" w:color="000000" w:sz="8" w:space="0"/>
              <w:bottom w:val="single" w:color="000000" w:sz="8" w:space="0"/>
              <w:right w:val="single" w:color="000000" w:sz="8" w:space="0"/>
            </w:tcBorders>
            <w:shd w:val="clear" w:color="auto" w:fill="auto"/>
          </w:tcPr>
          <w:p w14:paraId="69EFA92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6.84</w:t>
            </w:r>
          </w:p>
        </w:tc>
      </w:tr>
      <w:tr w14:paraId="186220B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FDBCFA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24</w:t>
            </w:r>
          </w:p>
        </w:tc>
        <w:tc>
          <w:tcPr>
            <w:tcW w:w="2841" w:type="dxa"/>
            <w:tcBorders>
              <w:top w:val="nil"/>
              <w:left w:val="single" w:color="000000" w:sz="8" w:space="0"/>
              <w:bottom w:val="single" w:color="000000" w:sz="8" w:space="0"/>
              <w:right w:val="single" w:color="000000" w:sz="8" w:space="0"/>
            </w:tcBorders>
            <w:shd w:val="clear" w:color="auto" w:fill="auto"/>
          </w:tcPr>
          <w:p w14:paraId="1FD1A06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0.619</w:t>
            </w:r>
          </w:p>
        </w:tc>
        <w:tc>
          <w:tcPr>
            <w:tcW w:w="2841" w:type="dxa"/>
            <w:tcBorders>
              <w:top w:val="nil"/>
              <w:left w:val="single" w:color="000000" w:sz="8" w:space="0"/>
              <w:bottom w:val="single" w:color="000000" w:sz="8" w:space="0"/>
              <w:right w:val="single" w:color="000000" w:sz="8" w:space="0"/>
            </w:tcBorders>
            <w:shd w:val="clear" w:color="auto" w:fill="auto"/>
          </w:tcPr>
          <w:p w14:paraId="3013803D">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6.29</w:t>
            </w:r>
          </w:p>
        </w:tc>
      </w:tr>
      <w:tr w14:paraId="1561666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FA8FD4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25</w:t>
            </w:r>
          </w:p>
        </w:tc>
        <w:tc>
          <w:tcPr>
            <w:tcW w:w="2841" w:type="dxa"/>
            <w:tcBorders>
              <w:top w:val="nil"/>
              <w:left w:val="single" w:color="000000" w:sz="8" w:space="0"/>
              <w:bottom w:val="single" w:color="000000" w:sz="8" w:space="0"/>
              <w:right w:val="single" w:color="000000" w:sz="8" w:space="0"/>
            </w:tcBorders>
            <w:shd w:val="clear" w:color="auto" w:fill="auto"/>
          </w:tcPr>
          <w:p w14:paraId="4E44C2F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0.559</w:t>
            </w:r>
          </w:p>
        </w:tc>
        <w:tc>
          <w:tcPr>
            <w:tcW w:w="2841" w:type="dxa"/>
            <w:tcBorders>
              <w:top w:val="nil"/>
              <w:left w:val="single" w:color="000000" w:sz="8" w:space="0"/>
              <w:bottom w:val="single" w:color="000000" w:sz="8" w:space="0"/>
              <w:right w:val="single" w:color="000000" w:sz="8" w:space="0"/>
            </w:tcBorders>
            <w:shd w:val="clear" w:color="auto" w:fill="auto"/>
          </w:tcPr>
          <w:p w14:paraId="0A6A5232">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5.80</w:t>
            </w:r>
          </w:p>
        </w:tc>
      </w:tr>
      <w:tr w14:paraId="1DF113D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252410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26</w:t>
            </w:r>
          </w:p>
        </w:tc>
        <w:tc>
          <w:tcPr>
            <w:tcW w:w="2841" w:type="dxa"/>
            <w:tcBorders>
              <w:top w:val="nil"/>
              <w:left w:val="single" w:color="000000" w:sz="8" w:space="0"/>
              <w:bottom w:val="single" w:color="000000" w:sz="8" w:space="0"/>
              <w:right w:val="single" w:color="000000" w:sz="8" w:space="0"/>
            </w:tcBorders>
            <w:shd w:val="clear" w:color="auto" w:fill="auto"/>
          </w:tcPr>
          <w:p w14:paraId="3BB3249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0.506</w:t>
            </w:r>
          </w:p>
        </w:tc>
        <w:tc>
          <w:tcPr>
            <w:tcW w:w="2841" w:type="dxa"/>
            <w:tcBorders>
              <w:top w:val="nil"/>
              <w:left w:val="single" w:color="000000" w:sz="8" w:space="0"/>
              <w:bottom w:val="single" w:color="000000" w:sz="8" w:space="0"/>
              <w:right w:val="single" w:color="000000" w:sz="8" w:space="0"/>
            </w:tcBorders>
            <w:shd w:val="clear" w:color="auto" w:fill="auto"/>
          </w:tcPr>
          <w:p w14:paraId="20710571">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5.36</w:t>
            </w:r>
          </w:p>
        </w:tc>
      </w:tr>
      <w:tr w14:paraId="2478B70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C347147">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27</w:t>
            </w:r>
          </w:p>
        </w:tc>
        <w:tc>
          <w:tcPr>
            <w:tcW w:w="2841" w:type="dxa"/>
            <w:tcBorders>
              <w:top w:val="nil"/>
              <w:left w:val="single" w:color="000000" w:sz="8" w:space="0"/>
              <w:bottom w:val="single" w:color="000000" w:sz="8" w:space="0"/>
              <w:right w:val="single" w:color="000000" w:sz="8" w:space="0"/>
            </w:tcBorders>
            <w:shd w:val="clear" w:color="auto" w:fill="auto"/>
          </w:tcPr>
          <w:p w14:paraId="457EBDA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0.46</w:t>
            </w:r>
          </w:p>
        </w:tc>
        <w:tc>
          <w:tcPr>
            <w:tcW w:w="2841" w:type="dxa"/>
            <w:tcBorders>
              <w:top w:val="nil"/>
              <w:left w:val="single" w:color="000000" w:sz="8" w:space="0"/>
              <w:bottom w:val="single" w:color="000000" w:sz="8" w:space="0"/>
              <w:right w:val="single" w:color="000000" w:sz="8" w:space="0"/>
            </w:tcBorders>
            <w:shd w:val="clear" w:color="auto" w:fill="auto"/>
          </w:tcPr>
          <w:p w14:paraId="1643E74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4.97</w:t>
            </w:r>
          </w:p>
        </w:tc>
      </w:tr>
      <w:tr w14:paraId="028B196A">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25BB7A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28</w:t>
            </w:r>
          </w:p>
        </w:tc>
        <w:tc>
          <w:tcPr>
            <w:tcW w:w="2841" w:type="dxa"/>
            <w:tcBorders>
              <w:top w:val="nil"/>
              <w:left w:val="single" w:color="000000" w:sz="8" w:space="0"/>
              <w:bottom w:val="single" w:color="000000" w:sz="8" w:space="0"/>
              <w:right w:val="single" w:color="000000" w:sz="8" w:space="0"/>
            </w:tcBorders>
            <w:shd w:val="clear" w:color="auto" w:fill="auto"/>
          </w:tcPr>
          <w:p w14:paraId="2F76AA7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0.42</w:t>
            </w:r>
          </w:p>
        </w:tc>
        <w:tc>
          <w:tcPr>
            <w:tcW w:w="2841" w:type="dxa"/>
            <w:tcBorders>
              <w:top w:val="nil"/>
              <w:left w:val="single" w:color="000000" w:sz="8" w:space="0"/>
              <w:bottom w:val="single" w:color="000000" w:sz="8" w:space="0"/>
              <w:right w:val="single" w:color="000000" w:sz="8" w:space="0"/>
            </w:tcBorders>
            <w:shd w:val="clear" w:color="auto" w:fill="auto"/>
          </w:tcPr>
          <w:p w14:paraId="57F441D4">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4.62</w:t>
            </w:r>
          </w:p>
        </w:tc>
      </w:tr>
      <w:tr w14:paraId="6557A9C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47A79C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29</w:t>
            </w:r>
          </w:p>
        </w:tc>
        <w:tc>
          <w:tcPr>
            <w:tcW w:w="2841" w:type="dxa"/>
            <w:tcBorders>
              <w:top w:val="nil"/>
              <w:left w:val="single" w:color="000000" w:sz="8" w:space="0"/>
              <w:bottom w:val="single" w:color="000000" w:sz="8" w:space="0"/>
              <w:right w:val="single" w:color="000000" w:sz="8" w:space="0"/>
            </w:tcBorders>
            <w:shd w:val="clear" w:color="auto" w:fill="auto"/>
          </w:tcPr>
          <w:p w14:paraId="729610A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0.385</w:t>
            </w:r>
          </w:p>
        </w:tc>
        <w:tc>
          <w:tcPr>
            <w:tcW w:w="2841" w:type="dxa"/>
            <w:tcBorders>
              <w:top w:val="nil"/>
              <w:left w:val="single" w:color="000000" w:sz="8" w:space="0"/>
              <w:bottom w:val="single" w:color="000000" w:sz="8" w:space="0"/>
              <w:right w:val="single" w:color="000000" w:sz="8" w:space="0"/>
            </w:tcBorders>
            <w:shd w:val="clear" w:color="auto" w:fill="auto"/>
          </w:tcPr>
          <w:p w14:paraId="0CDD36D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4.31</w:t>
            </w:r>
          </w:p>
        </w:tc>
      </w:tr>
      <w:tr w14:paraId="33AC68F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8E6795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30</w:t>
            </w:r>
          </w:p>
        </w:tc>
        <w:tc>
          <w:tcPr>
            <w:tcW w:w="2841" w:type="dxa"/>
            <w:tcBorders>
              <w:top w:val="nil"/>
              <w:left w:val="single" w:color="000000" w:sz="8" w:space="0"/>
              <w:bottom w:val="single" w:color="000000" w:sz="8" w:space="0"/>
              <w:right w:val="single" w:color="000000" w:sz="8" w:space="0"/>
            </w:tcBorders>
            <w:shd w:val="clear" w:color="auto" w:fill="auto"/>
          </w:tcPr>
          <w:p w14:paraId="01CA45CB">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0.354</w:t>
            </w:r>
          </w:p>
        </w:tc>
        <w:tc>
          <w:tcPr>
            <w:tcW w:w="2841" w:type="dxa"/>
            <w:tcBorders>
              <w:top w:val="nil"/>
              <w:left w:val="single" w:color="000000" w:sz="8" w:space="0"/>
              <w:bottom w:val="single" w:color="000000" w:sz="8" w:space="0"/>
              <w:right w:val="single" w:color="000000" w:sz="8" w:space="0"/>
            </w:tcBorders>
            <w:shd w:val="clear" w:color="auto" w:fill="auto"/>
          </w:tcPr>
          <w:p w14:paraId="1C5AF28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4.02</w:t>
            </w:r>
          </w:p>
        </w:tc>
      </w:tr>
      <w:tr w14:paraId="6250FA92">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DB660C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31</w:t>
            </w:r>
          </w:p>
        </w:tc>
        <w:tc>
          <w:tcPr>
            <w:tcW w:w="2841" w:type="dxa"/>
            <w:tcBorders>
              <w:top w:val="nil"/>
              <w:left w:val="single" w:color="000000" w:sz="8" w:space="0"/>
              <w:bottom w:val="single" w:color="000000" w:sz="8" w:space="0"/>
              <w:right w:val="single" w:color="000000" w:sz="8" w:space="0"/>
            </w:tcBorders>
            <w:shd w:val="clear" w:color="auto" w:fill="auto"/>
          </w:tcPr>
          <w:p w14:paraId="21DD88B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0.326</w:t>
            </w:r>
          </w:p>
        </w:tc>
        <w:tc>
          <w:tcPr>
            <w:tcW w:w="2841" w:type="dxa"/>
            <w:tcBorders>
              <w:top w:val="nil"/>
              <w:left w:val="single" w:color="000000" w:sz="8" w:space="0"/>
              <w:bottom w:val="single" w:color="000000" w:sz="8" w:space="0"/>
              <w:right w:val="single" w:color="000000" w:sz="8" w:space="0"/>
            </w:tcBorders>
            <w:shd w:val="clear" w:color="auto" w:fill="auto"/>
          </w:tcPr>
          <w:p w14:paraId="348F58C4">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3.77</w:t>
            </w:r>
          </w:p>
        </w:tc>
      </w:tr>
      <w:tr w14:paraId="62D06EE5">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0E4D2E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32</w:t>
            </w:r>
          </w:p>
        </w:tc>
        <w:tc>
          <w:tcPr>
            <w:tcW w:w="2841" w:type="dxa"/>
            <w:tcBorders>
              <w:top w:val="nil"/>
              <w:left w:val="single" w:color="000000" w:sz="8" w:space="0"/>
              <w:bottom w:val="single" w:color="000000" w:sz="8" w:space="0"/>
              <w:right w:val="single" w:color="000000" w:sz="8" w:space="0"/>
            </w:tcBorders>
            <w:shd w:val="clear" w:color="auto" w:fill="auto"/>
          </w:tcPr>
          <w:p w14:paraId="4CCB15A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0.301</w:t>
            </w:r>
          </w:p>
        </w:tc>
        <w:tc>
          <w:tcPr>
            <w:tcW w:w="2841" w:type="dxa"/>
            <w:tcBorders>
              <w:top w:val="nil"/>
              <w:left w:val="single" w:color="000000" w:sz="8" w:space="0"/>
              <w:bottom w:val="single" w:color="000000" w:sz="8" w:space="0"/>
              <w:right w:val="single" w:color="000000" w:sz="8" w:space="0"/>
            </w:tcBorders>
            <w:shd w:val="clear" w:color="auto" w:fill="auto"/>
          </w:tcPr>
          <w:p w14:paraId="1424810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3.53</w:t>
            </w:r>
          </w:p>
        </w:tc>
      </w:tr>
      <w:tr w14:paraId="2E050AC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637673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33</w:t>
            </w:r>
          </w:p>
        </w:tc>
        <w:tc>
          <w:tcPr>
            <w:tcW w:w="2841" w:type="dxa"/>
            <w:tcBorders>
              <w:top w:val="nil"/>
              <w:left w:val="single" w:color="000000" w:sz="8" w:space="0"/>
              <w:bottom w:val="single" w:color="000000" w:sz="8" w:space="0"/>
              <w:right w:val="single" w:color="000000" w:sz="8" w:space="0"/>
            </w:tcBorders>
            <w:shd w:val="clear" w:color="auto" w:fill="auto"/>
          </w:tcPr>
          <w:p w14:paraId="7B3B634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0.279</w:t>
            </w:r>
          </w:p>
        </w:tc>
        <w:tc>
          <w:tcPr>
            <w:tcW w:w="2841" w:type="dxa"/>
            <w:tcBorders>
              <w:top w:val="nil"/>
              <w:left w:val="single" w:color="000000" w:sz="8" w:space="0"/>
              <w:bottom w:val="single" w:color="000000" w:sz="8" w:space="0"/>
              <w:right w:val="single" w:color="000000" w:sz="8" w:space="0"/>
            </w:tcBorders>
            <w:shd w:val="clear" w:color="auto" w:fill="auto"/>
          </w:tcPr>
          <w:p w14:paraId="4E12F5A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3.32</w:t>
            </w:r>
          </w:p>
        </w:tc>
      </w:tr>
      <w:tr w14:paraId="3D738384">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6803677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34</w:t>
            </w:r>
          </w:p>
        </w:tc>
        <w:tc>
          <w:tcPr>
            <w:tcW w:w="2841" w:type="dxa"/>
            <w:tcBorders>
              <w:top w:val="nil"/>
              <w:left w:val="single" w:color="000000" w:sz="8" w:space="0"/>
              <w:bottom w:val="single" w:color="000000" w:sz="8" w:space="0"/>
              <w:right w:val="single" w:color="000000" w:sz="8" w:space="0"/>
            </w:tcBorders>
            <w:shd w:val="clear" w:color="auto" w:fill="auto"/>
          </w:tcPr>
          <w:p w14:paraId="5B9F703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0.259</w:t>
            </w:r>
          </w:p>
        </w:tc>
        <w:tc>
          <w:tcPr>
            <w:tcW w:w="2841" w:type="dxa"/>
            <w:tcBorders>
              <w:top w:val="nil"/>
              <w:left w:val="single" w:color="000000" w:sz="8" w:space="0"/>
              <w:bottom w:val="single" w:color="000000" w:sz="8" w:space="0"/>
              <w:right w:val="single" w:color="000000" w:sz="8" w:space="0"/>
            </w:tcBorders>
            <w:shd w:val="clear" w:color="auto" w:fill="auto"/>
          </w:tcPr>
          <w:p w14:paraId="5654AD67">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3.13</w:t>
            </w:r>
          </w:p>
        </w:tc>
      </w:tr>
      <w:tr w14:paraId="7D1A26B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967DE2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35</w:t>
            </w:r>
          </w:p>
        </w:tc>
        <w:tc>
          <w:tcPr>
            <w:tcW w:w="2841" w:type="dxa"/>
            <w:tcBorders>
              <w:top w:val="nil"/>
              <w:left w:val="single" w:color="000000" w:sz="8" w:space="0"/>
              <w:bottom w:val="single" w:color="000000" w:sz="8" w:space="0"/>
              <w:right w:val="single" w:color="000000" w:sz="8" w:space="0"/>
            </w:tcBorders>
            <w:shd w:val="clear" w:color="auto" w:fill="auto"/>
          </w:tcPr>
          <w:p w14:paraId="358015A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0.241</w:t>
            </w:r>
          </w:p>
        </w:tc>
        <w:tc>
          <w:tcPr>
            <w:tcW w:w="2841" w:type="dxa"/>
            <w:tcBorders>
              <w:top w:val="nil"/>
              <w:left w:val="single" w:color="000000" w:sz="8" w:space="0"/>
              <w:bottom w:val="single" w:color="000000" w:sz="8" w:space="0"/>
              <w:right w:val="single" w:color="000000" w:sz="8" w:space="0"/>
            </w:tcBorders>
            <w:shd w:val="clear" w:color="auto" w:fill="auto"/>
          </w:tcPr>
          <w:p w14:paraId="0DB3A45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2.95</w:t>
            </w:r>
          </w:p>
        </w:tc>
      </w:tr>
      <w:tr w14:paraId="76B22B2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C4208F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36</w:t>
            </w:r>
          </w:p>
        </w:tc>
        <w:tc>
          <w:tcPr>
            <w:tcW w:w="2841" w:type="dxa"/>
            <w:tcBorders>
              <w:top w:val="nil"/>
              <w:left w:val="single" w:color="000000" w:sz="8" w:space="0"/>
              <w:bottom w:val="single" w:color="000000" w:sz="8" w:space="0"/>
              <w:right w:val="single" w:color="000000" w:sz="8" w:space="0"/>
            </w:tcBorders>
            <w:shd w:val="clear" w:color="auto" w:fill="auto"/>
          </w:tcPr>
          <w:p w14:paraId="4C69099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0.225</w:t>
            </w:r>
          </w:p>
        </w:tc>
        <w:tc>
          <w:tcPr>
            <w:tcW w:w="2841" w:type="dxa"/>
            <w:tcBorders>
              <w:top w:val="nil"/>
              <w:left w:val="single" w:color="000000" w:sz="8" w:space="0"/>
              <w:bottom w:val="single" w:color="000000" w:sz="8" w:space="0"/>
              <w:right w:val="single" w:color="000000" w:sz="8" w:space="0"/>
            </w:tcBorders>
            <w:shd w:val="clear" w:color="auto" w:fill="auto"/>
          </w:tcPr>
          <w:p w14:paraId="1DB31D6B">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2.79</w:t>
            </w:r>
          </w:p>
        </w:tc>
      </w:tr>
      <w:tr w14:paraId="5ACF8BD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020682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37</w:t>
            </w:r>
          </w:p>
        </w:tc>
        <w:tc>
          <w:tcPr>
            <w:tcW w:w="2841" w:type="dxa"/>
            <w:tcBorders>
              <w:top w:val="nil"/>
              <w:left w:val="single" w:color="000000" w:sz="8" w:space="0"/>
              <w:bottom w:val="single" w:color="000000" w:sz="8" w:space="0"/>
              <w:right w:val="single" w:color="000000" w:sz="8" w:space="0"/>
            </w:tcBorders>
            <w:shd w:val="clear" w:color="auto" w:fill="auto"/>
          </w:tcPr>
          <w:p w14:paraId="2DDD68A2">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0.21</w:t>
            </w:r>
          </w:p>
        </w:tc>
        <w:tc>
          <w:tcPr>
            <w:tcW w:w="2841" w:type="dxa"/>
            <w:tcBorders>
              <w:top w:val="nil"/>
              <w:left w:val="single" w:color="000000" w:sz="8" w:space="0"/>
              <w:bottom w:val="single" w:color="000000" w:sz="8" w:space="0"/>
              <w:right w:val="single" w:color="000000" w:sz="8" w:space="0"/>
            </w:tcBorders>
            <w:shd w:val="clear" w:color="auto" w:fill="auto"/>
          </w:tcPr>
          <w:p w14:paraId="128572E5">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2.64</w:t>
            </w:r>
          </w:p>
        </w:tc>
      </w:tr>
      <w:tr w14:paraId="176F6220">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D068CF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38</w:t>
            </w:r>
          </w:p>
        </w:tc>
        <w:tc>
          <w:tcPr>
            <w:tcW w:w="2841" w:type="dxa"/>
            <w:tcBorders>
              <w:top w:val="nil"/>
              <w:left w:val="single" w:color="000000" w:sz="8" w:space="0"/>
              <w:bottom w:val="single" w:color="000000" w:sz="8" w:space="0"/>
              <w:right w:val="single" w:color="000000" w:sz="8" w:space="0"/>
            </w:tcBorders>
            <w:shd w:val="clear" w:color="auto" w:fill="auto"/>
          </w:tcPr>
          <w:p w14:paraId="651B4C7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0.196</w:t>
            </w:r>
          </w:p>
        </w:tc>
        <w:tc>
          <w:tcPr>
            <w:tcW w:w="2841" w:type="dxa"/>
            <w:tcBorders>
              <w:top w:val="nil"/>
              <w:left w:val="single" w:color="000000" w:sz="8" w:space="0"/>
              <w:bottom w:val="single" w:color="000000" w:sz="8" w:space="0"/>
              <w:right w:val="single" w:color="000000" w:sz="8" w:space="0"/>
            </w:tcBorders>
            <w:shd w:val="clear" w:color="auto" w:fill="auto"/>
          </w:tcPr>
          <w:p w14:paraId="688C46BC">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2.50</w:t>
            </w:r>
          </w:p>
        </w:tc>
      </w:tr>
      <w:tr w14:paraId="2CE06EE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51AE04B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39</w:t>
            </w:r>
          </w:p>
        </w:tc>
        <w:tc>
          <w:tcPr>
            <w:tcW w:w="2841" w:type="dxa"/>
            <w:tcBorders>
              <w:top w:val="nil"/>
              <w:left w:val="single" w:color="000000" w:sz="8" w:space="0"/>
              <w:bottom w:val="single" w:color="000000" w:sz="8" w:space="0"/>
              <w:right w:val="single" w:color="000000" w:sz="8" w:space="0"/>
            </w:tcBorders>
            <w:shd w:val="clear" w:color="auto" w:fill="auto"/>
          </w:tcPr>
          <w:p w14:paraId="6822ACE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0.184</w:t>
            </w:r>
          </w:p>
        </w:tc>
        <w:tc>
          <w:tcPr>
            <w:tcW w:w="2841" w:type="dxa"/>
            <w:tcBorders>
              <w:top w:val="nil"/>
              <w:left w:val="single" w:color="000000" w:sz="8" w:space="0"/>
              <w:bottom w:val="single" w:color="000000" w:sz="8" w:space="0"/>
              <w:right w:val="single" w:color="000000" w:sz="8" w:space="0"/>
            </w:tcBorders>
            <w:shd w:val="clear" w:color="auto" w:fill="auto"/>
          </w:tcPr>
          <w:p w14:paraId="0D92BB9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2.38</w:t>
            </w:r>
          </w:p>
        </w:tc>
      </w:tr>
      <w:tr w14:paraId="4D3390C2">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FBFCBA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40</w:t>
            </w:r>
          </w:p>
        </w:tc>
        <w:tc>
          <w:tcPr>
            <w:tcW w:w="2841" w:type="dxa"/>
            <w:tcBorders>
              <w:top w:val="nil"/>
              <w:left w:val="single" w:color="000000" w:sz="8" w:space="0"/>
              <w:bottom w:val="single" w:color="000000" w:sz="8" w:space="0"/>
              <w:right w:val="single" w:color="000000" w:sz="8" w:space="0"/>
            </w:tcBorders>
            <w:shd w:val="clear" w:color="auto" w:fill="auto"/>
          </w:tcPr>
          <w:p w14:paraId="1B91F72D">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0.173</w:t>
            </w:r>
          </w:p>
        </w:tc>
        <w:tc>
          <w:tcPr>
            <w:tcW w:w="2841" w:type="dxa"/>
            <w:tcBorders>
              <w:top w:val="nil"/>
              <w:left w:val="single" w:color="000000" w:sz="8" w:space="0"/>
              <w:bottom w:val="single" w:color="000000" w:sz="8" w:space="0"/>
              <w:right w:val="single" w:color="000000" w:sz="8" w:space="0"/>
            </w:tcBorders>
            <w:shd w:val="clear" w:color="auto" w:fill="auto"/>
          </w:tcPr>
          <w:p w14:paraId="70CE15A6">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2.26</w:t>
            </w:r>
          </w:p>
        </w:tc>
      </w:tr>
      <w:tr w14:paraId="05A9A52C">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467E1E3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41</w:t>
            </w:r>
          </w:p>
        </w:tc>
        <w:tc>
          <w:tcPr>
            <w:tcW w:w="2841" w:type="dxa"/>
            <w:tcBorders>
              <w:top w:val="nil"/>
              <w:left w:val="single" w:color="000000" w:sz="8" w:space="0"/>
              <w:bottom w:val="single" w:color="000000" w:sz="8" w:space="0"/>
              <w:right w:val="single" w:color="000000" w:sz="8" w:space="0"/>
            </w:tcBorders>
            <w:shd w:val="clear" w:color="auto" w:fill="auto"/>
          </w:tcPr>
          <w:p w14:paraId="3EEBE3F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0.163</w:t>
            </w:r>
          </w:p>
        </w:tc>
        <w:tc>
          <w:tcPr>
            <w:tcW w:w="2841" w:type="dxa"/>
            <w:tcBorders>
              <w:top w:val="nil"/>
              <w:left w:val="single" w:color="000000" w:sz="8" w:space="0"/>
              <w:bottom w:val="single" w:color="000000" w:sz="8" w:space="0"/>
              <w:right w:val="single" w:color="000000" w:sz="8" w:space="0"/>
            </w:tcBorders>
            <w:shd w:val="clear" w:color="auto" w:fill="auto"/>
          </w:tcPr>
          <w:p w14:paraId="512B85BF">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2.15</w:t>
            </w:r>
          </w:p>
        </w:tc>
      </w:tr>
      <w:tr w14:paraId="0003984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168E4FA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42</w:t>
            </w:r>
          </w:p>
        </w:tc>
        <w:tc>
          <w:tcPr>
            <w:tcW w:w="2841" w:type="dxa"/>
            <w:tcBorders>
              <w:top w:val="nil"/>
              <w:left w:val="single" w:color="000000" w:sz="8" w:space="0"/>
              <w:bottom w:val="single" w:color="000000" w:sz="8" w:space="0"/>
              <w:right w:val="single" w:color="000000" w:sz="8" w:space="0"/>
            </w:tcBorders>
            <w:shd w:val="clear" w:color="auto" w:fill="auto"/>
          </w:tcPr>
          <w:p w14:paraId="6426FD1F">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0.153</w:t>
            </w:r>
          </w:p>
        </w:tc>
        <w:tc>
          <w:tcPr>
            <w:tcW w:w="2841" w:type="dxa"/>
            <w:tcBorders>
              <w:top w:val="nil"/>
              <w:left w:val="single" w:color="000000" w:sz="8" w:space="0"/>
              <w:bottom w:val="single" w:color="000000" w:sz="8" w:space="0"/>
              <w:right w:val="single" w:color="000000" w:sz="8" w:space="0"/>
            </w:tcBorders>
            <w:shd w:val="clear" w:color="auto" w:fill="auto"/>
          </w:tcPr>
          <w:p w14:paraId="3A21107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2.05</w:t>
            </w:r>
          </w:p>
        </w:tc>
      </w:tr>
      <w:tr w14:paraId="04CF7943">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6B76C3E">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43</w:t>
            </w:r>
          </w:p>
        </w:tc>
        <w:tc>
          <w:tcPr>
            <w:tcW w:w="2841" w:type="dxa"/>
            <w:tcBorders>
              <w:top w:val="nil"/>
              <w:left w:val="single" w:color="000000" w:sz="8" w:space="0"/>
              <w:bottom w:val="single" w:color="000000" w:sz="8" w:space="0"/>
              <w:right w:val="single" w:color="000000" w:sz="8" w:space="0"/>
            </w:tcBorders>
            <w:shd w:val="clear" w:color="auto" w:fill="auto"/>
          </w:tcPr>
          <w:p w14:paraId="63419B1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0.145</w:t>
            </w:r>
          </w:p>
        </w:tc>
        <w:tc>
          <w:tcPr>
            <w:tcW w:w="2841" w:type="dxa"/>
            <w:tcBorders>
              <w:top w:val="nil"/>
              <w:left w:val="single" w:color="000000" w:sz="8" w:space="0"/>
              <w:bottom w:val="single" w:color="000000" w:sz="8" w:space="0"/>
              <w:right w:val="single" w:color="000000" w:sz="8" w:space="0"/>
            </w:tcBorders>
            <w:shd w:val="clear" w:color="auto" w:fill="auto"/>
          </w:tcPr>
          <w:p w14:paraId="58D69744">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1.95</w:t>
            </w:r>
          </w:p>
        </w:tc>
      </w:tr>
      <w:tr w14:paraId="5763CA2F">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3ADB2AFA">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44</w:t>
            </w:r>
          </w:p>
        </w:tc>
        <w:tc>
          <w:tcPr>
            <w:tcW w:w="2841" w:type="dxa"/>
            <w:tcBorders>
              <w:top w:val="nil"/>
              <w:left w:val="single" w:color="000000" w:sz="8" w:space="0"/>
              <w:bottom w:val="single" w:color="000000" w:sz="8" w:space="0"/>
              <w:right w:val="single" w:color="000000" w:sz="8" w:space="0"/>
            </w:tcBorders>
            <w:shd w:val="clear" w:color="auto" w:fill="auto"/>
          </w:tcPr>
          <w:p w14:paraId="3D657743">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0.137</w:t>
            </w:r>
          </w:p>
        </w:tc>
        <w:tc>
          <w:tcPr>
            <w:tcW w:w="2841" w:type="dxa"/>
            <w:tcBorders>
              <w:top w:val="nil"/>
              <w:left w:val="single" w:color="000000" w:sz="8" w:space="0"/>
              <w:bottom w:val="single" w:color="000000" w:sz="8" w:space="0"/>
              <w:right w:val="single" w:color="000000" w:sz="8" w:space="0"/>
            </w:tcBorders>
            <w:shd w:val="clear" w:color="auto" w:fill="auto"/>
          </w:tcPr>
          <w:p w14:paraId="336AFD9E">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1.86</w:t>
            </w:r>
          </w:p>
        </w:tc>
      </w:tr>
      <w:tr w14:paraId="7D13E9A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7CCB8B2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45</w:t>
            </w:r>
          </w:p>
        </w:tc>
        <w:tc>
          <w:tcPr>
            <w:tcW w:w="2841" w:type="dxa"/>
            <w:tcBorders>
              <w:top w:val="nil"/>
              <w:left w:val="single" w:color="000000" w:sz="8" w:space="0"/>
              <w:bottom w:val="single" w:color="000000" w:sz="8" w:space="0"/>
              <w:right w:val="single" w:color="000000" w:sz="8" w:space="0"/>
            </w:tcBorders>
            <w:shd w:val="clear" w:color="auto" w:fill="auto"/>
          </w:tcPr>
          <w:p w14:paraId="084E8599">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0.129</w:t>
            </w:r>
          </w:p>
        </w:tc>
        <w:tc>
          <w:tcPr>
            <w:tcW w:w="2841" w:type="dxa"/>
            <w:tcBorders>
              <w:top w:val="nil"/>
              <w:left w:val="single" w:color="000000" w:sz="8" w:space="0"/>
              <w:bottom w:val="single" w:color="000000" w:sz="8" w:space="0"/>
              <w:right w:val="single" w:color="000000" w:sz="8" w:space="0"/>
            </w:tcBorders>
            <w:shd w:val="clear" w:color="auto" w:fill="auto"/>
          </w:tcPr>
          <w:p w14:paraId="6AE341D2">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1.78</w:t>
            </w:r>
          </w:p>
        </w:tc>
      </w:tr>
      <w:tr w14:paraId="3D1605F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C1B0DC4">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46</w:t>
            </w:r>
          </w:p>
        </w:tc>
        <w:tc>
          <w:tcPr>
            <w:tcW w:w="2841" w:type="dxa"/>
            <w:tcBorders>
              <w:top w:val="nil"/>
              <w:left w:val="single" w:color="000000" w:sz="8" w:space="0"/>
              <w:bottom w:val="single" w:color="000000" w:sz="8" w:space="0"/>
              <w:right w:val="single" w:color="000000" w:sz="8" w:space="0"/>
            </w:tcBorders>
            <w:shd w:val="clear" w:color="auto" w:fill="auto"/>
          </w:tcPr>
          <w:p w14:paraId="781EB06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0.122</w:t>
            </w:r>
          </w:p>
        </w:tc>
        <w:tc>
          <w:tcPr>
            <w:tcW w:w="2841" w:type="dxa"/>
            <w:tcBorders>
              <w:top w:val="nil"/>
              <w:left w:val="single" w:color="000000" w:sz="8" w:space="0"/>
              <w:bottom w:val="single" w:color="000000" w:sz="8" w:space="0"/>
              <w:right w:val="single" w:color="000000" w:sz="8" w:space="0"/>
            </w:tcBorders>
            <w:shd w:val="clear" w:color="auto" w:fill="auto"/>
          </w:tcPr>
          <w:p w14:paraId="4097536A">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1.71</w:t>
            </w:r>
          </w:p>
        </w:tc>
      </w:tr>
      <w:tr w14:paraId="08C11CD7">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20C0CF90">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47</w:t>
            </w:r>
          </w:p>
        </w:tc>
        <w:tc>
          <w:tcPr>
            <w:tcW w:w="2841" w:type="dxa"/>
            <w:tcBorders>
              <w:top w:val="nil"/>
              <w:left w:val="single" w:color="000000" w:sz="8" w:space="0"/>
              <w:bottom w:val="single" w:color="000000" w:sz="8" w:space="0"/>
              <w:right w:val="single" w:color="000000" w:sz="8" w:space="0"/>
            </w:tcBorders>
            <w:shd w:val="clear" w:color="auto" w:fill="auto"/>
          </w:tcPr>
          <w:p w14:paraId="393862AC">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0.116</w:t>
            </w:r>
          </w:p>
        </w:tc>
        <w:tc>
          <w:tcPr>
            <w:tcW w:w="2841" w:type="dxa"/>
            <w:tcBorders>
              <w:top w:val="nil"/>
              <w:left w:val="single" w:color="000000" w:sz="8" w:space="0"/>
              <w:bottom w:val="single" w:color="000000" w:sz="8" w:space="0"/>
              <w:right w:val="single" w:color="000000" w:sz="8" w:space="0"/>
            </w:tcBorders>
            <w:shd w:val="clear" w:color="auto" w:fill="auto"/>
          </w:tcPr>
          <w:p w14:paraId="5ED221D0">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1.63</w:t>
            </w:r>
          </w:p>
        </w:tc>
      </w:tr>
      <w:tr w14:paraId="57E6E6FD">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C167474">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最大值(</w:t>
            </w:r>
            <w:r>
              <w:rPr>
                <w:rFonts w:hint="eastAsia" w:eastAsiaTheme="minorEastAsia"/>
                <w:bCs/>
                <w:szCs w:val="21"/>
              </w:rPr>
              <w:t>kV/m</w:t>
            </w:r>
            <w:r>
              <w:rPr>
                <w:rFonts w:hint="eastAsia" w:asciiTheme="minorEastAsia" w:hAnsiTheme="minorEastAsia" w:eastAsiaTheme="minorEastAsia" w:cstheme="minorEastAsia"/>
                <w:kern w:val="0"/>
                <w:szCs w:val="21"/>
              </w:rPr>
              <w:t>)</w:t>
            </w:r>
          </w:p>
        </w:tc>
        <w:tc>
          <w:tcPr>
            <w:tcW w:w="2841" w:type="dxa"/>
            <w:tcBorders>
              <w:top w:val="nil"/>
              <w:left w:val="single" w:color="000000" w:sz="8" w:space="0"/>
              <w:bottom w:val="single" w:color="000000" w:sz="8" w:space="0"/>
              <w:right w:val="single" w:color="000000" w:sz="8" w:space="0"/>
            </w:tcBorders>
            <w:shd w:val="clear" w:color="auto" w:fill="auto"/>
          </w:tcPr>
          <w:p w14:paraId="6B0C9B41">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7.608</w:t>
            </w:r>
          </w:p>
        </w:tc>
        <w:tc>
          <w:tcPr>
            <w:tcW w:w="2841" w:type="dxa"/>
            <w:tcBorders>
              <w:top w:val="nil"/>
              <w:left w:val="single" w:color="000000" w:sz="8" w:space="0"/>
              <w:bottom w:val="single" w:color="000000" w:sz="8" w:space="0"/>
              <w:right w:val="single" w:color="000000" w:sz="8" w:space="0"/>
            </w:tcBorders>
            <w:shd w:val="clear" w:color="auto" w:fill="auto"/>
          </w:tcPr>
          <w:p w14:paraId="41504478">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47.22</w:t>
            </w:r>
          </w:p>
        </w:tc>
      </w:tr>
      <w:tr w14:paraId="7AAB086E">
        <w:tblPrEx>
          <w:tblCellMar>
            <w:top w:w="0" w:type="dxa"/>
            <w:left w:w="108" w:type="dxa"/>
            <w:bottom w:w="0" w:type="dxa"/>
            <w:right w:w="108" w:type="dxa"/>
          </w:tblCellMar>
        </w:tblPrEx>
        <w:trPr>
          <w:trHeight w:val="285" w:hRule="atLeast"/>
        </w:trPr>
        <w:tc>
          <w:tcPr>
            <w:tcW w:w="2837" w:type="dxa"/>
            <w:tcBorders>
              <w:top w:val="nil"/>
              <w:left w:val="single" w:color="000000" w:sz="8" w:space="0"/>
              <w:bottom w:val="single" w:color="000000" w:sz="8" w:space="0"/>
              <w:right w:val="single" w:color="000000" w:sz="8" w:space="0"/>
            </w:tcBorders>
            <w:shd w:val="clear" w:color="auto" w:fill="auto"/>
          </w:tcPr>
          <w:p w14:paraId="06574F93">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最大值处距线路走廊中心距离(</w:t>
            </w:r>
            <w:r>
              <w:rPr>
                <w:rFonts w:hint="eastAsia" w:eastAsiaTheme="minorEastAsia"/>
                <w:bCs/>
                <w:szCs w:val="21"/>
              </w:rPr>
              <w:t>m</w:t>
            </w:r>
            <w:r>
              <w:rPr>
                <w:rFonts w:hint="eastAsia" w:asciiTheme="minorEastAsia" w:hAnsiTheme="minorEastAsia" w:eastAsiaTheme="minorEastAsia" w:cstheme="minorEastAsia"/>
                <w:kern w:val="0"/>
                <w:szCs w:val="21"/>
              </w:rPr>
              <w:t>)</w:t>
            </w:r>
          </w:p>
        </w:tc>
        <w:tc>
          <w:tcPr>
            <w:tcW w:w="2841" w:type="dxa"/>
            <w:tcBorders>
              <w:top w:val="nil"/>
              <w:left w:val="single" w:color="000000" w:sz="8" w:space="0"/>
              <w:bottom w:val="single" w:color="000000" w:sz="8" w:space="0"/>
              <w:right w:val="single" w:color="000000" w:sz="8" w:space="0"/>
            </w:tcBorders>
            <w:shd w:val="clear" w:color="auto" w:fill="auto"/>
          </w:tcPr>
          <w:p w14:paraId="74B66906">
            <w:pPr>
              <w:keepNext w:val="0"/>
              <w:keepLines w:val="0"/>
              <w:widowControl/>
              <w:suppressLineNumbers w:val="0"/>
              <w:spacing w:before="0" w:beforeAutospacing="0" w:after="0" w:afterAutospacing="0"/>
              <w:ind w:left="0" w:right="0"/>
              <w:jc w:val="center"/>
              <w:textAlignment w:val="top"/>
              <w:rPr>
                <w:rFonts w:eastAsiaTheme="minorEastAsia"/>
                <w:bCs/>
                <w:szCs w:val="21"/>
              </w:rPr>
            </w:pPr>
            <w:r>
              <w:rPr>
                <w:rFonts w:hint="eastAsia" w:eastAsiaTheme="minorEastAsia"/>
                <w:bCs/>
                <w:szCs w:val="21"/>
              </w:rPr>
              <w:t>-7.3</w:t>
            </w:r>
          </w:p>
        </w:tc>
        <w:tc>
          <w:tcPr>
            <w:tcW w:w="2841" w:type="dxa"/>
            <w:tcBorders>
              <w:top w:val="nil"/>
              <w:left w:val="single" w:color="000000" w:sz="8" w:space="0"/>
              <w:bottom w:val="single" w:color="000000" w:sz="8" w:space="0"/>
              <w:right w:val="single" w:color="000000" w:sz="8" w:space="0"/>
            </w:tcBorders>
            <w:shd w:val="clear" w:color="auto" w:fill="auto"/>
          </w:tcPr>
          <w:p w14:paraId="54F29B62">
            <w:pPr>
              <w:keepNext w:val="0"/>
              <w:keepLines w:val="0"/>
              <w:suppressLineNumbers w:val="0"/>
              <w:spacing w:before="0" w:beforeAutospacing="0" w:after="0" w:afterAutospacing="0"/>
              <w:ind w:left="0" w:right="0"/>
              <w:jc w:val="center"/>
              <w:rPr>
                <w:rFonts w:eastAsiaTheme="minorEastAsia"/>
                <w:bCs/>
                <w:szCs w:val="21"/>
              </w:rPr>
            </w:pPr>
            <w:r>
              <w:rPr>
                <w:rFonts w:hint="eastAsia" w:eastAsiaTheme="minorEastAsia"/>
                <w:bCs/>
                <w:szCs w:val="21"/>
              </w:rPr>
              <w:t>-5.2</w:t>
            </w:r>
          </w:p>
        </w:tc>
      </w:tr>
    </w:tbl>
    <w:p w14:paraId="485D41C0">
      <w:pPr>
        <w:pStyle w:val="44"/>
      </w:pPr>
    </w:p>
    <w:p w14:paraId="432B457B"/>
    <w:p w14:paraId="75502EC6">
      <w:pPr>
        <w:spacing w:line="360" w:lineRule="auto"/>
        <w:jc w:val="center"/>
        <w:rPr>
          <w:szCs w:val="20"/>
        </w:rPr>
      </w:pPr>
      <w:r>
        <w:drawing>
          <wp:inline distT="0" distB="0" distL="114300" distR="114300">
            <wp:extent cx="4826000" cy="2743200"/>
            <wp:effectExtent l="4445" t="4445" r="8255" b="1460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A84AE7D">
      <w:pPr>
        <w:ind w:firstLine="211" w:firstLineChars="100"/>
        <w:jc w:val="center"/>
        <w:rPr>
          <w:rFonts w:ascii="宋体" w:hAnsi="宋体"/>
          <w:b/>
          <w:sz w:val="21"/>
          <w:szCs w:val="21"/>
        </w:rPr>
      </w:pPr>
      <w:r>
        <w:rPr>
          <w:rFonts w:hint="eastAsia" w:ascii="宋体" w:hAnsi="宋体"/>
          <w:b/>
          <w:sz w:val="21"/>
          <w:szCs w:val="21"/>
        </w:rPr>
        <w:t>图</w:t>
      </w:r>
      <w:r>
        <w:rPr>
          <w:b/>
          <w:sz w:val="21"/>
          <w:szCs w:val="21"/>
        </w:rPr>
        <w:t>3.2-1</w:t>
      </w:r>
      <w:r>
        <w:rPr>
          <w:rFonts w:hint="eastAsia" w:ascii="宋体" w:hAnsi="宋体"/>
          <w:b/>
          <w:sz w:val="21"/>
          <w:szCs w:val="21"/>
        </w:rPr>
        <w:t xml:space="preserve"> </w:t>
      </w:r>
      <w:r>
        <w:rPr>
          <w:rFonts w:hint="eastAsia" w:ascii="宋体" w:hAnsi="宋体"/>
          <w:b/>
          <w:sz w:val="21"/>
          <w:szCs w:val="21"/>
          <w:lang w:val="en-US" w:eastAsia="zh-CN"/>
        </w:rPr>
        <w:t xml:space="preserve">  </w:t>
      </w:r>
      <w:r>
        <w:rPr>
          <w:rFonts w:hint="eastAsia" w:ascii="宋体" w:hAnsi="宋体"/>
          <w:b/>
          <w:sz w:val="21"/>
          <w:szCs w:val="21"/>
        </w:rPr>
        <w:t>单回线路(</w:t>
      </w:r>
      <w:r>
        <w:rPr>
          <w:b/>
          <w:sz w:val="21"/>
          <w:szCs w:val="21"/>
        </w:rPr>
        <w:t>220-GD22D-DJ</w:t>
      </w:r>
      <w:r>
        <w:rPr>
          <w:rFonts w:hint="eastAsia" w:ascii="宋体" w:hAnsi="宋体"/>
          <w:b/>
          <w:sz w:val="21"/>
          <w:szCs w:val="21"/>
        </w:rPr>
        <w:t>塔型)工频电场强度贡献值分布曲线</w:t>
      </w:r>
    </w:p>
    <w:p w14:paraId="0AA09ED5">
      <w:pPr>
        <w:pStyle w:val="44"/>
      </w:pPr>
    </w:p>
    <w:p w14:paraId="12CB5F08">
      <w:pPr>
        <w:pStyle w:val="44"/>
        <w:adjustRightInd w:val="0"/>
        <w:snapToGrid w:val="0"/>
      </w:pPr>
      <w:r>
        <w:drawing>
          <wp:inline distT="0" distB="0" distL="114300" distR="114300">
            <wp:extent cx="4826000" cy="2743200"/>
            <wp:effectExtent l="4445" t="4445" r="8255" b="14605"/>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33BB115">
      <w:pPr>
        <w:spacing w:line="360" w:lineRule="auto"/>
        <w:jc w:val="center"/>
        <w:rPr>
          <w:rFonts w:ascii="宋体" w:hAnsi="宋体"/>
          <w:b/>
          <w:color w:val="4874CB" w:themeColor="accent1"/>
          <w:sz w:val="24"/>
        </w:rPr>
      </w:pPr>
      <w:r>
        <w:rPr>
          <w:rFonts w:hint="eastAsia" w:ascii="宋体" w:hAnsi="宋体"/>
          <w:b/>
          <w:sz w:val="21"/>
          <w:szCs w:val="21"/>
        </w:rPr>
        <w:t>图</w:t>
      </w:r>
      <w:r>
        <w:rPr>
          <w:b/>
          <w:sz w:val="21"/>
          <w:szCs w:val="21"/>
        </w:rPr>
        <w:t>3.2-2</w:t>
      </w:r>
      <w:r>
        <w:rPr>
          <w:rFonts w:hint="eastAsia"/>
          <w:b/>
          <w:sz w:val="21"/>
          <w:szCs w:val="21"/>
          <w:lang w:val="en-US" w:eastAsia="zh-CN"/>
        </w:rPr>
        <w:t xml:space="preserve">   </w:t>
      </w:r>
      <w:r>
        <w:rPr>
          <w:b/>
          <w:sz w:val="21"/>
          <w:szCs w:val="21"/>
        </w:rPr>
        <w:t xml:space="preserve"> </w:t>
      </w:r>
      <w:r>
        <w:rPr>
          <w:rFonts w:hint="eastAsia" w:ascii="宋体" w:hAnsi="宋体"/>
          <w:b/>
          <w:sz w:val="21"/>
          <w:szCs w:val="21"/>
        </w:rPr>
        <w:t>单回线路(</w:t>
      </w:r>
      <w:r>
        <w:rPr>
          <w:b/>
          <w:sz w:val="21"/>
          <w:szCs w:val="21"/>
        </w:rPr>
        <w:t>220-GD22D-DJ</w:t>
      </w:r>
      <w:r>
        <w:rPr>
          <w:rFonts w:hint="eastAsia" w:ascii="宋体" w:hAnsi="宋体"/>
          <w:b/>
          <w:sz w:val="21"/>
          <w:szCs w:val="21"/>
        </w:rPr>
        <w:t>塔型)工频磁感应强度贡献值分布曲线</w:t>
      </w:r>
    </w:p>
    <w:p w14:paraId="1DFDB95A">
      <w:pPr>
        <w:spacing w:line="360" w:lineRule="auto"/>
        <w:rPr>
          <w:rFonts w:ascii="宋体" w:hAnsi="宋体"/>
          <w:bCs/>
          <w:sz w:val="24"/>
        </w:rPr>
      </w:pPr>
      <w:r>
        <w:rPr>
          <w:bCs/>
          <w:kern w:val="15"/>
          <w:sz w:val="24"/>
        </w:rPr>
        <w:t>3.2.3.2</w:t>
      </w:r>
      <w:r>
        <w:rPr>
          <w:rFonts w:hint="eastAsia" w:ascii="宋体" w:hAnsi="宋体"/>
          <w:bCs/>
          <w:kern w:val="15"/>
          <w:sz w:val="24"/>
        </w:rPr>
        <w:t>双回路线路段预测</w:t>
      </w:r>
    </w:p>
    <w:p w14:paraId="5A7C44EE">
      <w:pPr>
        <w:spacing w:line="360" w:lineRule="auto"/>
        <w:ind w:firstLine="480" w:firstLineChars="200"/>
        <w:rPr>
          <w:rFonts w:ascii="宋体" w:hAnsi="宋体"/>
          <w:sz w:val="24"/>
        </w:rPr>
      </w:pPr>
      <w:r>
        <w:rPr>
          <w:rFonts w:hint="eastAsia" w:ascii="宋体" w:hAnsi="宋体"/>
          <w:sz w:val="24"/>
        </w:rPr>
        <w:t>因双回路塔只有一基塔位于升压站外的终端塔，地面上</w:t>
      </w:r>
      <w:r>
        <w:rPr>
          <w:sz w:val="24"/>
        </w:rPr>
        <w:t>1.5m</w:t>
      </w:r>
      <w:r>
        <w:rPr>
          <w:rFonts w:hint="eastAsia" w:ascii="宋体" w:hAnsi="宋体"/>
          <w:sz w:val="24"/>
        </w:rPr>
        <w:t>高度处的工频电场强度和工频磁感应强度，且以对环境最不利的同相序排列预测。</w:t>
      </w:r>
    </w:p>
    <w:p w14:paraId="50C3DBA0">
      <w:pPr>
        <w:spacing w:line="360" w:lineRule="auto"/>
        <w:ind w:firstLine="480" w:firstLineChars="200"/>
        <w:jc w:val="left"/>
        <w:rPr>
          <w:rFonts w:ascii="宋体" w:hAnsi="宋体"/>
          <w:sz w:val="24"/>
        </w:rPr>
      </w:pPr>
      <w:r>
        <w:rPr>
          <w:rFonts w:hint="eastAsia" w:ascii="宋体" w:hAnsi="宋体"/>
          <w:sz w:val="24"/>
        </w:rPr>
        <w:t>在输电线路的截面上建立平面坐标系，同塔双回以杆塔中心在地面投影为坐标系的原点</w:t>
      </w:r>
      <w:r>
        <w:rPr>
          <w:rFonts w:hint="eastAsia"/>
          <w:sz w:val="24"/>
        </w:rPr>
        <w:t>O</w:t>
      </w:r>
      <w:r>
        <w:rPr>
          <w:rFonts w:hint="eastAsia" w:ascii="宋体" w:hAnsi="宋体"/>
          <w:sz w:val="24"/>
        </w:rPr>
        <w:t>(</w:t>
      </w:r>
      <w:r>
        <w:rPr>
          <w:rFonts w:hint="eastAsia"/>
          <w:sz w:val="24"/>
        </w:rPr>
        <w:t>0，0</w:t>
      </w:r>
      <w:r>
        <w:rPr>
          <w:rFonts w:hint="eastAsia" w:ascii="宋体" w:hAnsi="宋体"/>
          <w:sz w:val="24"/>
        </w:rPr>
        <w:t>)，</w:t>
      </w:r>
      <w:r>
        <w:rPr>
          <w:rFonts w:hint="eastAsia"/>
          <w:sz w:val="24"/>
        </w:rPr>
        <w:t>X</w:t>
      </w:r>
      <w:r>
        <w:rPr>
          <w:rFonts w:hint="eastAsia" w:ascii="宋体" w:hAnsi="宋体"/>
          <w:sz w:val="24"/>
        </w:rPr>
        <w:t>为水平方向、</w:t>
      </w:r>
      <w:r>
        <w:rPr>
          <w:rFonts w:hint="eastAsia"/>
          <w:sz w:val="24"/>
        </w:rPr>
        <w:t>Y</w:t>
      </w:r>
      <w:r>
        <w:rPr>
          <w:rFonts w:hint="eastAsia" w:ascii="宋体" w:hAnsi="宋体"/>
          <w:sz w:val="24"/>
        </w:rPr>
        <w:t>为垂直方向，单位为</w:t>
      </w:r>
      <w:r>
        <w:rPr>
          <w:rFonts w:hint="eastAsia"/>
          <w:sz w:val="24"/>
        </w:rPr>
        <w:t>m。</w:t>
      </w:r>
    </w:p>
    <w:p w14:paraId="05B85C1C">
      <w:pPr>
        <w:spacing w:line="360" w:lineRule="auto"/>
        <w:ind w:firstLine="480" w:firstLineChars="200"/>
        <w:jc w:val="left"/>
        <w:rPr>
          <w:sz w:val="24"/>
        </w:rPr>
      </w:pPr>
      <w:r>
        <w:rPr>
          <w:rFonts w:hint="eastAsia"/>
          <w:sz w:val="24"/>
        </w:rPr>
        <w:t>本次评价预测采用最不利情况下的同相序</w:t>
      </w:r>
      <w:r>
        <w:rPr>
          <w:rFonts w:hint="eastAsia" w:ascii="宋体" w:hAnsi="宋体"/>
          <w:sz w:val="24"/>
        </w:rPr>
        <w:t>，双回线路(</w:t>
      </w:r>
      <w:r>
        <w:rPr>
          <w:sz w:val="24"/>
        </w:rPr>
        <w:t>220-GD22S-DJ</w:t>
      </w:r>
      <w:r>
        <w:rPr>
          <w:rFonts w:hint="eastAsia" w:ascii="宋体" w:hAnsi="宋体"/>
          <w:sz w:val="24"/>
        </w:rPr>
        <w:t>塔型)计算结果，详见表</w:t>
      </w:r>
      <w:r>
        <w:rPr>
          <w:rFonts w:hint="eastAsia"/>
          <w:sz w:val="24"/>
        </w:rPr>
        <w:t>3.2-4</w:t>
      </w:r>
      <w:r>
        <w:rPr>
          <w:rFonts w:hint="eastAsia" w:ascii="宋体" w:hAnsi="宋体"/>
          <w:sz w:val="24"/>
        </w:rPr>
        <w:t>及图</w:t>
      </w:r>
      <w:r>
        <w:rPr>
          <w:rFonts w:hint="eastAsia"/>
          <w:sz w:val="24"/>
        </w:rPr>
        <w:t>3.2-3~图3.2-4</w:t>
      </w:r>
      <w:r>
        <w:rPr>
          <w:rFonts w:hint="eastAsia" w:ascii="宋体" w:hAnsi="宋体"/>
          <w:sz w:val="24"/>
        </w:rPr>
        <w:t>。</w:t>
      </w:r>
    </w:p>
    <w:p w14:paraId="52CB98FF">
      <w:pPr>
        <w:jc w:val="center"/>
        <w:rPr>
          <w:rFonts w:ascii="宋体" w:hAnsi="宋体"/>
          <w:b/>
          <w:sz w:val="21"/>
          <w:szCs w:val="21"/>
        </w:rPr>
      </w:pPr>
      <w:r>
        <w:rPr>
          <w:rFonts w:hint="eastAsia" w:ascii="宋体" w:hAnsi="宋体"/>
          <w:b/>
          <w:sz w:val="21"/>
          <w:szCs w:val="21"/>
        </w:rPr>
        <w:t>表</w:t>
      </w:r>
      <w:r>
        <w:rPr>
          <w:b/>
          <w:sz w:val="21"/>
          <w:szCs w:val="21"/>
        </w:rPr>
        <w:t>3.2-4</w:t>
      </w:r>
      <w:r>
        <w:rPr>
          <w:rFonts w:hint="eastAsia" w:ascii="宋体" w:hAnsi="宋体"/>
          <w:b/>
          <w:sz w:val="21"/>
          <w:szCs w:val="21"/>
        </w:rPr>
        <w:t xml:space="preserve">     同塔双回路线路同相序工频场强贡献值      预测高度</w:t>
      </w:r>
      <w:r>
        <w:rPr>
          <w:b/>
          <w:sz w:val="21"/>
          <w:szCs w:val="21"/>
        </w:rPr>
        <w:t>6.5m</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9"/>
        <w:gridCol w:w="2841"/>
      </w:tblGrid>
      <w:tr w14:paraId="04C36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6" w:type="pct"/>
            <w:tcBorders>
              <w:tl2br w:val="nil"/>
              <w:tr2bl w:val="nil"/>
            </w:tcBorders>
            <w:vAlign w:val="center"/>
          </w:tcPr>
          <w:p w14:paraId="35F7F7E7">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距线路走廊中心距离(</w:t>
            </w:r>
            <w:r>
              <w:rPr>
                <w:bCs/>
                <w:szCs w:val="21"/>
              </w:rPr>
              <w:t>m</w:t>
            </w:r>
            <w:r>
              <w:rPr>
                <w:rFonts w:hint="eastAsia" w:ascii="宋体" w:hAnsi="宋体" w:cs="宋体"/>
                <w:bCs/>
                <w:szCs w:val="21"/>
              </w:rPr>
              <w:t>)</w:t>
            </w:r>
          </w:p>
        </w:tc>
        <w:tc>
          <w:tcPr>
            <w:tcW w:w="1666" w:type="pct"/>
            <w:tcBorders>
              <w:tl2br w:val="nil"/>
              <w:tr2bl w:val="nil"/>
            </w:tcBorders>
            <w:vAlign w:val="center"/>
          </w:tcPr>
          <w:p w14:paraId="186B8F4C">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工频电场（</w:t>
            </w:r>
            <w:r>
              <w:rPr>
                <w:rFonts w:hint="eastAsia"/>
                <w:bCs/>
                <w:szCs w:val="21"/>
              </w:rPr>
              <w:t>kV/m</w:t>
            </w:r>
            <w:r>
              <w:rPr>
                <w:rFonts w:hint="eastAsia" w:ascii="宋体" w:hAnsi="宋体" w:cs="宋体"/>
                <w:bCs/>
                <w:szCs w:val="21"/>
              </w:rPr>
              <w:t>）</w:t>
            </w:r>
          </w:p>
        </w:tc>
        <w:tc>
          <w:tcPr>
            <w:tcW w:w="1667" w:type="pct"/>
            <w:tcBorders>
              <w:tl2br w:val="nil"/>
              <w:tr2bl w:val="nil"/>
            </w:tcBorders>
            <w:vAlign w:val="center"/>
          </w:tcPr>
          <w:p w14:paraId="2FD7B0F8">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工频磁感应强度（</w:t>
            </w:r>
            <w:r>
              <w:rPr>
                <w:szCs w:val="21"/>
              </w:rPr>
              <w:t>μT</w:t>
            </w:r>
            <w:r>
              <w:rPr>
                <w:rFonts w:hint="eastAsia" w:ascii="宋体" w:hAnsi="宋体" w:cs="宋体"/>
                <w:bCs/>
                <w:szCs w:val="21"/>
              </w:rPr>
              <w:t>）</w:t>
            </w:r>
          </w:p>
        </w:tc>
      </w:tr>
      <w:tr w14:paraId="6F4A5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9E95F23">
            <w:pPr>
              <w:keepNext w:val="0"/>
              <w:keepLines w:val="0"/>
              <w:widowControl/>
              <w:suppressLineNumbers w:val="0"/>
              <w:spacing w:before="0" w:beforeAutospacing="0" w:after="0" w:afterAutospacing="0"/>
              <w:ind w:left="0" w:right="0"/>
              <w:jc w:val="center"/>
              <w:textAlignment w:val="top"/>
              <w:rPr>
                <w:bCs/>
                <w:szCs w:val="21"/>
              </w:rPr>
            </w:pPr>
            <w:r>
              <w:rPr>
                <w:bCs/>
                <w:szCs w:val="21"/>
              </w:rPr>
              <w:t>-48</w:t>
            </w:r>
          </w:p>
        </w:tc>
        <w:tc>
          <w:tcPr>
            <w:tcW w:w="2839" w:type="dxa"/>
            <w:tcBorders>
              <w:tl2br w:val="nil"/>
              <w:tr2bl w:val="nil"/>
            </w:tcBorders>
          </w:tcPr>
          <w:p w14:paraId="51529D75">
            <w:pPr>
              <w:keepNext w:val="0"/>
              <w:keepLines w:val="0"/>
              <w:widowControl/>
              <w:suppressLineNumbers w:val="0"/>
              <w:spacing w:before="0" w:beforeAutospacing="0" w:after="0" w:afterAutospacing="0"/>
              <w:ind w:left="0" w:right="0"/>
              <w:jc w:val="center"/>
              <w:textAlignment w:val="top"/>
              <w:rPr>
                <w:bCs/>
                <w:szCs w:val="21"/>
              </w:rPr>
            </w:pPr>
            <w:r>
              <w:rPr>
                <w:bCs/>
                <w:szCs w:val="21"/>
              </w:rPr>
              <w:t>0.186</w:t>
            </w:r>
          </w:p>
        </w:tc>
        <w:tc>
          <w:tcPr>
            <w:tcW w:w="2841" w:type="dxa"/>
            <w:tcBorders>
              <w:tl2br w:val="nil"/>
              <w:tr2bl w:val="nil"/>
            </w:tcBorders>
          </w:tcPr>
          <w:p w14:paraId="374F4841">
            <w:pPr>
              <w:keepNext w:val="0"/>
              <w:keepLines w:val="0"/>
              <w:widowControl/>
              <w:suppressLineNumbers w:val="0"/>
              <w:spacing w:before="0" w:beforeAutospacing="0" w:after="0" w:afterAutospacing="0"/>
              <w:ind w:left="0" w:right="0"/>
              <w:jc w:val="center"/>
              <w:textAlignment w:val="top"/>
              <w:rPr>
                <w:bCs/>
                <w:szCs w:val="21"/>
              </w:rPr>
            </w:pPr>
            <w:r>
              <w:rPr>
                <w:bCs/>
                <w:szCs w:val="21"/>
              </w:rPr>
              <w:t>2.44</w:t>
            </w:r>
          </w:p>
        </w:tc>
      </w:tr>
      <w:tr w14:paraId="2D8A3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0903989">
            <w:pPr>
              <w:keepNext w:val="0"/>
              <w:keepLines w:val="0"/>
              <w:widowControl/>
              <w:suppressLineNumbers w:val="0"/>
              <w:spacing w:before="0" w:beforeAutospacing="0" w:after="0" w:afterAutospacing="0"/>
              <w:ind w:left="0" w:right="0"/>
              <w:jc w:val="center"/>
              <w:textAlignment w:val="top"/>
              <w:rPr>
                <w:bCs/>
                <w:szCs w:val="21"/>
              </w:rPr>
            </w:pPr>
            <w:r>
              <w:rPr>
                <w:bCs/>
                <w:szCs w:val="21"/>
              </w:rPr>
              <w:t>-47</w:t>
            </w:r>
          </w:p>
        </w:tc>
        <w:tc>
          <w:tcPr>
            <w:tcW w:w="2839" w:type="dxa"/>
            <w:tcBorders>
              <w:tl2br w:val="nil"/>
              <w:tr2bl w:val="nil"/>
            </w:tcBorders>
          </w:tcPr>
          <w:p w14:paraId="0A9B7C62">
            <w:pPr>
              <w:keepNext w:val="0"/>
              <w:keepLines w:val="0"/>
              <w:widowControl/>
              <w:suppressLineNumbers w:val="0"/>
              <w:spacing w:before="0" w:beforeAutospacing="0" w:after="0" w:afterAutospacing="0"/>
              <w:ind w:left="0" w:right="0"/>
              <w:jc w:val="center"/>
              <w:textAlignment w:val="top"/>
              <w:rPr>
                <w:bCs/>
                <w:szCs w:val="21"/>
              </w:rPr>
            </w:pPr>
            <w:r>
              <w:rPr>
                <w:bCs/>
                <w:szCs w:val="21"/>
              </w:rPr>
              <w:t>0.192</w:t>
            </w:r>
          </w:p>
        </w:tc>
        <w:tc>
          <w:tcPr>
            <w:tcW w:w="2841" w:type="dxa"/>
            <w:tcBorders>
              <w:tl2br w:val="nil"/>
              <w:tr2bl w:val="nil"/>
            </w:tcBorders>
          </w:tcPr>
          <w:p w14:paraId="7524E753">
            <w:pPr>
              <w:keepNext w:val="0"/>
              <w:keepLines w:val="0"/>
              <w:widowControl/>
              <w:suppressLineNumbers w:val="0"/>
              <w:spacing w:before="0" w:beforeAutospacing="0" w:after="0" w:afterAutospacing="0"/>
              <w:ind w:left="0" w:right="0"/>
              <w:jc w:val="center"/>
              <w:textAlignment w:val="top"/>
              <w:rPr>
                <w:bCs/>
                <w:szCs w:val="21"/>
              </w:rPr>
            </w:pPr>
            <w:r>
              <w:rPr>
                <w:bCs/>
                <w:szCs w:val="21"/>
              </w:rPr>
              <w:t>2.54</w:t>
            </w:r>
          </w:p>
        </w:tc>
      </w:tr>
      <w:tr w14:paraId="47E44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2A05FBA">
            <w:pPr>
              <w:keepNext w:val="0"/>
              <w:keepLines w:val="0"/>
              <w:widowControl/>
              <w:suppressLineNumbers w:val="0"/>
              <w:spacing w:before="0" w:beforeAutospacing="0" w:after="0" w:afterAutospacing="0"/>
              <w:ind w:left="0" w:right="0"/>
              <w:jc w:val="center"/>
              <w:textAlignment w:val="top"/>
              <w:rPr>
                <w:bCs/>
                <w:szCs w:val="21"/>
              </w:rPr>
            </w:pPr>
            <w:r>
              <w:rPr>
                <w:bCs/>
                <w:szCs w:val="21"/>
              </w:rPr>
              <w:t>-46</w:t>
            </w:r>
          </w:p>
        </w:tc>
        <w:tc>
          <w:tcPr>
            <w:tcW w:w="2839" w:type="dxa"/>
            <w:tcBorders>
              <w:tl2br w:val="nil"/>
              <w:tr2bl w:val="nil"/>
            </w:tcBorders>
          </w:tcPr>
          <w:p w14:paraId="76A543F2">
            <w:pPr>
              <w:keepNext w:val="0"/>
              <w:keepLines w:val="0"/>
              <w:widowControl/>
              <w:suppressLineNumbers w:val="0"/>
              <w:spacing w:before="0" w:beforeAutospacing="0" w:after="0" w:afterAutospacing="0"/>
              <w:ind w:left="0" w:right="0"/>
              <w:jc w:val="center"/>
              <w:textAlignment w:val="top"/>
              <w:rPr>
                <w:bCs/>
                <w:szCs w:val="21"/>
              </w:rPr>
            </w:pPr>
            <w:r>
              <w:rPr>
                <w:bCs/>
                <w:szCs w:val="21"/>
              </w:rPr>
              <w:t>0.197</w:t>
            </w:r>
          </w:p>
        </w:tc>
        <w:tc>
          <w:tcPr>
            <w:tcW w:w="2841" w:type="dxa"/>
            <w:tcBorders>
              <w:tl2br w:val="nil"/>
              <w:tr2bl w:val="nil"/>
            </w:tcBorders>
          </w:tcPr>
          <w:p w14:paraId="131905CA">
            <w:pPr>
              <w:keepNext w:val="0"/>
              <w:keepLines w:val="0"/>
              <w:widowControl/>
              <w:suppressLineNumbers w:val="0"/>
              <w:spacing w:before="0" w:beforeAutospacing="0" w:after="0" w:afterAutospacing="0"/>
              <w:ind w:left="0" w:right="0"/>
              <w:jc w:val="center"/>
              <w:textAlignment w:val="top"/>
              <w:rPr>
                <w:bCs/>
                <w:szCs w:val="21"/>
              </w:rPr>
            </w:pPr>
            <w:r>
              <w:rPr>
                <w:bCs/>
                <w:szCs w:val="21"/>
              </w:rPr>
              <w:t>2.65</w:t>
            </w:r>
          </w:p>
        </w:tc>
      </w:tr>
      <w:tr w14:paraId="1C155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16F25DC">
            <w:pPr>
              <w:keepNext w:val="0"/>
              <w:keepLines w:val="0"/>
              <w:widowControl/>
              <w:suppressLineNumbers w:val="0"/>
              <w:spacing w:before="0" w:beforeAutospacing="0" w:after="0" w:afterAutospacing="0"/>
              <w:ind w:left="0" w:right="0"/>
              <w:jc w:val="center"/>
              <w:textAlignment w:val="top"/>
              <w:rPr>
                <w:bCs/>
                <w:szCs w:val="21"/>
              </w:rPr>
            </w:pPr>
            <w:r>
              <w:rPr>
                <w:bCs/>
                <w:szCs w:val="21"/>
              </w:rPr>
              <w:t>-45</w:t>
            </w:r>
          </w:p>
        </w:tc>
        <w:tc>
          <w:tcPr>
            <w:tcW w:w="2839" w:type="dxa"/>
            <w:tcBorders>
              <w:tl2br w:val="nil"/>
              <w:tr2bl w:val="nil"/>
            </w:tcBorders>
          </w:tcPr>
          <w:p w14:paraId="398D034D">
            <w:pPr>
              <w:keepNext w:val="0"/>
              <w:keepLines w:val="0"/>
              <w:widowControl/>
              <w:suppressLineNumbers w:val="0"/>
              <w:spacing w:before="0" w:beforeAutospacing="0" w:after="0" w:afterAutospacing="0"/>
              <w:ind w:left="0" w:right="0"/>
              <w:jc w:val="center"/>
              <w:textAlignment w:val="top"/>
              <w:rPr>
                <w:bCs/>
                <w:szCs w:val="21"/>
              </w:rPr>
            </w:pPr>
            <w:r>
              <w:rPr>
                <w:bCs/>
                <w:szCs w:val="21"/>
              </w:rPr>
              <w:t>0.203</w:t>
            </w:r>
          </w:p>
        </w:tc>
        <w:tc>
          <w:tcPr>
            <w:tcW w:w="2841" w:type="dxa"/>
            <w:tcBorders>
              <w:tl2br w:val="nil"/>
              <w:tr2bl w:val="nil"/>
            </w:tcBorders>
          </w:tcPr>
          <w:p w14:paraId="5ED6186F">
            <w:pPr>
              <w:keepNext w:val="0"/>
              <w:keepLines w:val="0"/>
              <w:widowControl/>
              <w:suppressLineNumbers w:val="0"/>
              <w:spacing w:before="0" w:beforeAutospacing="0" w:after="0" w:afterAutospacing="0"/>
              <w:ind w:left="0" w:right="0"/>
              <w:jc w:val="center"/>
              <w:textAlignment w:val="top"/>
              <w:rPr>
                <w:bCs/>
                <w:szCs w:val="21"/>
              </w:rPr>
            </w:pPr>
            <w:r>
              <w:rPr>
                <w:bCs/>
                <w:szCs w:val="21"/>
              </w:rPr>
              <w:t>2.76</w:t>
            </w:r>
          </w:p>
        </w:tc>
      </w:tr>
      <w:tr w14:paraId="04712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99A5455">
            <w:pPr>
              <w:keepNext w:val="0"/>
              <w:keepLines w:val="0"/>
              <w:widowControl/>
              <w:suppressLineNumbers w:val="0"/>
              <w:spacing w:before="0" w:beforeAutospacing="0" w:after="0" w:afterAutospacing="0"/>
              <w:ind w:left="0" w:right="0"/>
              <w:jc w:val="center"/>
              <w:textAlignment w:val="top"/>
              <w:rPr>
                <w:bCs/>
                <w:szCs w:val="21"/>
              </w:rPr>
            </w:pPr>
            <w:r>
              <w:rPr>
                <w:bCs/>
                <w:szCs w:val="21"/>
              </w:rPr>
              <w:t>-44</w:t>
            </w:r>
          </w:p>
        </w:tc>
        <w:tc>
          <w:tcPr>
            <w:tcW w:w="2839" w:type="dxa"/>
            <w:tcBorders>
              <w:tl2br w:val="nil"/>
              <w:tr2bl w:val="nil"/>
            </w:tcBorders>
          </w:tcPr>
          <w:p w14:paraId="7AC68731">
            <w:pPr>
              <w:keepNext w:val="0"/>
              <w:keepLines w:val="0"/>
              <w:widowControl/>
              <w:suppressLineNumbers w:val="0"/>
              <w:spacing w:before="0" w:beforeAutospacing="0" w:after="0" w:afterAutospacing="0"/>
              <w:ind w:left="0" w:right="0"/>
              <w:jc w:val="center"/>
              <w:textAlignment w:val="top"/>
              <w:rPr>
                <w:bCs/>
                <w:szCs w:val="21"/>
              </w:rPr>
            </w:pPr>
            <w:r>
              <w:rPr>
                <w:bCs/>
                <w:szCs w:val="21"/>
              </w:rPr>
              <w:t>0.209</w:t>
            </w:r>
          </w:p>
        </w:tc>
        <w:tc>
          <w:tcPr>
            <w:tcW w:w="2841" w:type="dxa"/>
            <w:tcBorders>
              <w:tl2br w:val="nil"/>
              <w:tr2bl w:val="nil"/>
            </w:tcBorders>
          </w:tcPr>
          <w:p w14:paraId="70A79AC1">
            <w:pPr>
              <w:keepNext w:val="0"/>
              <w:keepLines w:val="0"/>
              <w:widowControl/>
              <w:suppressLineNumbers w:val="0"/>
              <w:spacing w:before="0" w:beforeAutospacing="0" w:after="0" w:afterAutospacing="0"/>
              <w:ind w:left="0" w:right="0"/>
              <w:jc w:val="center"/>
              <w:textAlignment w:val="top"/>
              <w:rPr>
                <w:bCs/>
                <w:szCs w:val="21"/>
              </w:rPr>
            </w:pPr>
            <w:r>
              <w:rPr>
                <w:bCs/>
                <w:szCs w:val="21"/>
              </w:rPr>
              <w:t>2.89</w:t>
            </w:r>
          </w:p>
        </w:tc>
      </w:tr>
      <w:tr w14:paraId="0D15D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ADA70BF">
            <w:pPr>
              <w:keepNext w:val="0"/>
              <w:keepLines w:val="0"/>
              <w:widowControl/>
              <w:suppressLineNumbers w:val="0"/>
              <w:spacing w:before="0" w:beforeAutospacing="0" w:after="0" w:afterAutospacing="0"/>
              <w:ind w:left="0" w:right="0"/>
              <w:jc w:val="center"/>
              <w:textAlignment w:val="top"/>
              <w:rPr>
                <w:bCs/>
                <w:szCs w:val="21"/>
              </w:rPr>
            </w:pPr>
            <w:r>
              <w:rPr>
                <w:bCs/>
                <w:szCs w:val="21"/>
              </w:rPr>
              <w:t>-43</w:t>
            </w:r>
          </w:p>
        </w:tc>
        <w:tc>
          <w:tcPr>
            <w:tcW w:w="2839" w:type="dxa"/>
            <w:tcBorders>
              <w:tl2br w:val="nil"/>
              <w:tr2bl w:val="nil"/>
            </w:tcBorders>
          </w:tcPr>
          <w:p w14:paraId="00ED4CB1">
            <w:pPr>
              <w:keepNext w:val="0"/>
              <w:keepLines w:val="0"/>
              <w:widowControl/>
              <w:suppressLineNumbers w:val="0"/>
              <w:spacing w:before="0" w:beforeAutospacing="0" w:after="0" w:afterAutospacing="0"/>
              <w:ind w:left="0" w:right="0"/>
              <w:jc w:val="center"/>
              <w:textAlignment w:val="top"/>
              <w:rPr>
                <w:bCs/>
                <w:szCs w:val="21"/>
              </w:rPr>
            </w:pPr>
            <w:r>
              <w:rPr>
                <w:bCs/>
                <w:szCs w:val="21"/>
              </w:rPr>
              <w:t>0.215</w:t>
            </w:r>
          </w:p>
        </w:tc>
        <w:tc>
          <w:tcPr>
            <w:tcW w:w="2841" w:type="dxa"/>
            <w:tcBorders>
              <w:tl2br w:val="nil"/>
              <w:tr2bl w:val="nil"/>
            </w:tcBorders>
          </w:tcPr>
          <w:p w14:paraId="779EA6B3">
            <w:pPr>
              <w:keepNext w:val="0"/>
              <w:keepLines w:val="0"/>
              <w:widowControl/>
              <w:suppressLineNumbers w:val="0"/>
              <w:spacing w:before="0" w:beforeAutospacing="0" w:after="0" w:afterAutospacing="0"/>
              <w:ind w:left="0" w:right="0"/>
              <w:jc w:val="center"/>
              <w:textAlignment w:val="top"/>
              <w:rPr>
                <w:bCs/>
                <w:szCs w:val="21"/>
              </w:rPr>
            </w:pPr>
            <w:r>
              <w:rPr>
                <w:bCs/>
                <w:szCs w:val="21"/>
              </w:rPr>
              <w:t>3.02</w:t>
            </w:r>
          </w:p>
        </w:tc>
      </w:tr>
      <w:tr w14:paraId="58A5E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609A25F">
            <w:pPr>
              <w:keepNext w:val="0"/>
              <w:keepLines w:val="0"/>
              <w:widowControl/>
              <w:suppressLineNumbers w:val="0"/>
              <w:spacing w:before="0" w:beforeAutospacing="0" w:after="0" w:afterAutospacing="0"/>
              <w:ind w:left="0" w:right="0"/>
              <w:jc w:val="center"/>
              <w:textAlignment w:val="top"/>
              <w:rPr>
                <w:bCs/>
                <w:szCs w:val="21"/>
              </w:rPr>
            </w:pPr>
            <w:r>
              <w:rPr>
                <w:bCs/>
                <w:szCs w:val="21"/>
              </w:rPr>
              <w:t>-42</w:t>
            </w:r>
          </w:p>
        </w:tc>
        <w:tc>
          <w:tcPr>
            <w:tcW w:w="2839" w:type="dxa"/>
            <w:tcBorders>
              <w:tl2br w:val="nil"/>
              <w:tr2bl w:val="nil"/>
            </w:tcBorders>
          </w:tcPr>
          <w:p w14:paraId="63C6EDFA">
            <w:pPr>
              <w:keepNext w:val="0"/>
              <w:keepLines w:val="0"/>
              <w:widowControl/>
              <w:suppressLineNumbers w:val="0"/>
              <w:spacing w:before="0" w:beforeAutospacing="0" w:after="0" w:afterAutospacing="0"/>
              <w:ind w:left="0" w:right="0"/>
              <w:jc w:val="center"/>
              <w:textAlignment w:val="top"/>
              <w:rPr>
                <w:bCs/>
                <w:szCs w:val="21"/>
              </w:rPr>
            </w:pPr>
            <w:r>
              <w:rPr>
                <w:bCs/>
                <w:szCs w:val="21"/>
              </w:rPr>
              <w:t>0.222</w:t>
            </w:r>
          </w:p>
        </w:tc>
        <w:tc>
          <w:tcPr>
            <w:tcW w:w="2841" w:type="dxa"/>
            <w:tcBorders>
              <w:tl2br w:val="nil"/>
              <w:tr2bl w:val="nil"/>
            </w:tcBorders>
          </w:tcPr>
          <w:p w14:paraId="0A2DAF91">
            <w:pPr>
              <w:keepNext w:val="0"/>
              <w:keepLines w:val="0"/>
              <w:widowControl/>
              <w:suppressLineNumbers w:val="0"/>
              <w:spacing w:before="0" w:beforeAutospacing="0" w:after="0" w:afterAutospacing="0"/>
              <w:ind w:left="0" w:right="0"/>
              <w:jc w:val="center"/>
              <w:textAlignment w:val="top"/>
              <w:rPr>
                <w:bCs/>
                <w:szCs w:val="21"/>
              </w:rPr>
            </w:pPr>
            <w:r>
              <w:rPr>
                <w:bCs/>
                <w:szCs w:val="21"/>
              </w:rPr>
              <w:t>3.16</w:t>
            </w:r>
          </w:p>
        </w:tc>
      </w:tr>
      <w:tr w14:paraId="65E85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158B98F">
            <w:pPr>
              <w:keepNext w:val="0"/>
              <w:keepLines w:val="0"/>
              <w:widowControl/>
              <w:suppressLineNumbers w:val="0"/>
              <w:spacing w:before="0" w:beforeAutospacing="0" w:after="0" w:afterAutospacing="0"/>
              <w:ind w:left="0" w:right="0"/>
              <w:jc w:val="center"/>
              <w:textAlignment w:val="top"/>
              <w:rPr>
                <w:bCs/>
                <w:szCs w:val="21"/>
              </w:rPr>
            </w:pPr>
            <w:r>
              <w:rPr>
                <w:bCs/>
                <w:szCs w:val="21"/>
              </w:rPr>
              <w:t>-41</w:t>
            </w:r>
          </w:p>
        </w:tc>
        <w:tc>
          <w:tcPr>
            <w:tcW w:w="2839" w:type="dxa"/>
            <w:tcBorders>
              <w:tl2br w:val="nil"/>
              <w:tr2bl w:val="nil"/>
            </w:tcBorders>
          </w:tcPr>
          <w:p w14:paraId="7EDC16E6">
            <w:pPr>
              <w:keepNext w:val="0"/>
              <w:keepLines w:val="0"/>
              <w:widowControl/>
              <w:suppressLineNumbers w:val="0"/>
              <w:spacing w:before="0" w:beforeAutospacing="0" w:after="0" w:afterAutospacing="0"/>
              <w:ind w:left="0" w:right="0"/>
              <w:jc w:val="center"/>
              <w:textAlignment w:val="top"/>
              <w:rPr>
                <w:bCs/>
                <w:szCs w:val="21"/>
              </w:rPr>
            </w:pPr>
            <w:r>
              <w:rPr>
                <w:bCs/>
                <w:szCs w:val="21"/>
              </w:rPr>
              <w:t>0.228</w:t>
            </w:r>
          </w:p>
        </w:tc>
        <w:tc>
          <w:tcPr>
            <w:tcW w:w="2841" w:type="dxa"/>
            <w:tcBorders>
              <w:tl2br w:val="nil"/>
              <w:tr2bl w:val="nil"/>
            </w:tcBorders>
          </w:tcPr>
          <w:p w14:paraId="10946EFB">
            <w:pPr>
              <w:keepNext w:val="0"/>
              <w:keepLines w:val="0"/>
              <w:widowControl/>
              <w:suppressLineNumbers w:val="0"/>
              <w:spacing w:before="0" w:beforeAutospacing="0" w:after="0" w:afterAutospacing="0"/>
              <w:ind w:left="0" w:right="0"/>
              <w:jc w:val="center"/>
              <w:textAlignment w:val="top"/>
              <w:rPr>
                <w:bCs/>
                <w:szCs w:val="21"/>
              </w:rPr>
            </w:pPr>
            <w:r>
              <w:rPr>
                <w:bCs/>
                <w:szCs w:val="21"/>
              </w:rPr>
              <w:t>3.31</w:t>
            </w:r>
          </w:p>
        </w:tc>
      </w:tr>
      <w:tr w14:paraId="4C21B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857AB2F">
            <w:pPr>
              <w:keepNext w:val="0"/>
              <w:keepLines w:val="0"/>
              <w:widowControl/>
              <w:suppressLineNumbers w:val="0"/>
              <w:spacing w:before="0" w:beforeAutospacing="0" w:after="0" w:afterAutospacing="0"/>
              <w:ind w:left="0" w:right="0"/>
              <w:jc w:val="center"/>
              <w:textAlignment w:val="top"/>
              <w:rPr>
                <w:bCs/>
                <w:szCs w:val="21"/>
              </w:rPr>
            </w:pPr>
            <w:r>
              <w:rPr>
                <w:bCs/>
                <w:szCs w:val="21"/>
              </w:rPr>
              <w:t>-40</w:t>
            </w:r>
          </w:p>
        </w:tc>
        <w:tc>
          <w:tcPr>
            <w:tcW w:w="2839" w:type="dxa"/>
            <w:tcBorders>
              <w:tl2br w:val="nil"/>
              <w:tr2bl w:val="nil"/>
            </w:tcBorders>
          </w:tcPr>
          <w:p w14:paraId="79285326">
            <w:pPr>
              <w:keepNext w:val="0"/>
              <w:keepLines w:val="0"/>
              <w:widowControl/>
              <w:suppressLineNumbers w:val="0"/>
              <w:spacing w:before="0" w:beforeAutospacing="0" w:after="0" w:afterAutospacing="0"/>
              <w:ind w:left="0" w:right="0"/>
              <w:jc w:val="center"/>
              <w:textAlignment w:val="top"/>
              <w:rPr>
                <w:bCs/>
                <w:szCs w:val="21"/>
              </w:rPr>
            </w:pPr>
            <w:r>
              <w:rPr>
                <w:bCs/>
                <w:szCs w:val="21"/>
              </w:rPr>
              <w:t>0.235</w:t>
            </w:r>
          </w:p>
        </w:tc>
        <w:tc>
          <w:tcPr>
            <w:tcW w:w="2841" w:type="dxa"/>
            <w:tcBorders>
              <w:tl2br w:val="nil"/>
              <w:tr2bl w:val="nil"/>
            </w:tcBorders>
          </w:tcPr>
          <w:p w14:paraId="3C95A696">
            <w:pPr>
              <w:keepNext w:val="0"/>
              <w:keepLines w:val="0"/>
              <w:widowControl/>
              <w:suppressLineNumbers w:val="0"/>
              <w:spacing w:before="0" w:beforeAutospacing="0" w:after="0" w:afterAutospacing="0"/>
              <w:ind w:left="0" w:right="0"/>
              <w:jc w:val="center"/>
              <w:textAlignment w:val="top"/>
              <w:rPr>
                <w:bCs/>
                <w:szCs w:val="21"/>
              </w:rPr>
            </w:pPr>
            <w:r>
              <w:rPr>
                <w:bCs/>
                <w:szCs w:val="21"/>
              </w:rPr>
              <w:t>3.47</w:t>
            </w:r>
          </w:p>
        </w:tc>
      </w:tr>
      <w:tr w14:paraId="7019E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BE33346">
            <w:pPr>
              <w:keepNext w:val="0"/>
              <w:keepLines w:val="0"/>
              <w:widowControl/>
              <w:suppressLineNumbers w:val="0"/>
              <w:spacing w:before="0" w:beforeAutospacing="0" w:after="0" w:afterAutospacing="0"/>
              <w:ind w:left="0" w:right="0"/>
              <w:jc w:val="center"/>
              <w:textAlignment w:val="top"/>
              <w:rPr>
                <w:bCs/>
                <w:szCs w:val="21"/>
              </w:rPr>
            </w:pPr>
            <w:r>
              <w:rPr>
                <w:bCs/>
                <w:szCs w:val="21"/>
              </w:rPr>
              <w:t>-39</w:t>
            </w:r>
          </w:p>
        </w:tc>
        <w:tc>
          <w:tcPr>
            <w:tcW w:w="2839" w:type="dxa"/>
            <w:tcBorders>
              <w:tl2br w:val="nil"/>
              <w:tr2bl w:val="nil"/>
            </w:tcBorders>
          </w:tcPr>
          <w:p w14:paraId="17AFAB77">
            <w:pPr>
              <w:keepNext w:val="0"/>
              <w:keepLines w:val="0"/>
              <w:widowControl/>
              <w:suppressLineNumbers w:val="0"/>
              <w:spacing w:before="0" w:beforeAutospacing="0" w:after="0" w:afterAutospacing="0"/>
              <w:ind w:left="0" w:right="0"/>
              <w:jc w:val="center"/>
              <w:textAlignment w:val="top"/>
              <w:rPr>
                <w:bCs/>
                <w:szCs w:val="21"/>
              </w:rPr>
            </w:pPr>
            <w:r>
              <w:rPr>
                <w:bCs/>
                <w:szCs w:val="21"/>
              </w:rPr>
              <w:t>0.242</w:t>
            </w:r>
          </w:p>
        </w:tc>
        <w:tc>
          <w:tcPr>
            <w:tcW w:w="2841" w:type="dxa"/>
            <w:tcBorders>
              <w:tl2br w:val="nil"/>
              <w:tr2bl w:val="nil"/>
            </w:tcBorders>
          </w:tcPr>
          <w:p w14:paraId="35E57E53">
            <w:pPr>
              <w:keepNext w:val="0"/>
              <w:keepLines w:val="0"/>
              <w:widowControl/>
              <w:suppressLineNumbers w:val="0"/>
              <w:spacing w:before="0" w:beforeAutospacing="0" w:after="0" w:afterAutospacing="0"/>
              <w:ind w:left="0" w:right="0"/>
              <w:jc w:val="center"/>
              <w:textAlignment w:val="top"/>
              <w:rPr>
                <w:bCs/>
                <w:szCs w:val="21"/>
              </w:rPr>
            </w:pPr>
            <w:r>
              <w:rPr>
                <w:bCs/>
                <w:szCs w:val="21"/>
              </w:rPr>
              <w:t>3.64</w:t>
            </w:r>
          </w:p>
        </w:tc>
      </w:tr>
      <w:tr w14:paraId="688FC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1C1B03C">
            <w:pPr>
              <w:keepNext w:val="0"/>
              <w:keepLines w:val="0"/>
              <w:widowControl/>
              <w:suppressLineNumbers w:val="0"/>
              <w:spacing w:before="0" w:beforeAutospacing="0" w:after="0" w:afterAutospacing="0"/>
              <w:ind w:left="0" w:right="0"/>
              <w:jc w:val="center"/>
              <w:textAlignment w:val="top"/>
              <w:rPr>
                <w:bCs/>
                <w:szCs w:val="21"/>
              </w:rPr>
            </w:pPr>
            <w:r>
              <w:rPr>
                <w:bCs/>
                <w:szCs w:val="21"/>
              </w:rPr>
              <w:t>-38</w:t>
            </w:r>
          </w:p>
        </w:tc>
        <w:tc>
          <w:tcPr>
            <w:tcW w:w="2839" w:type="dxa"/>
            <w:tcBorders>
              <w:tl2br w:val="nil"/>
              <w:tr2bl w:val="nil"/>
            </w:tcBorders>
          </w:tcPr>
          <w:p w14:paraId="4E12C8DD">
            <w:pPr>
              <w:keepNext w:val="0"/>
              <w:keepLines w:val="0"/>
              <w:widowControl/>
              <w:suppressLineNumbers w:val="0"/>
              <w:spacing w:before="0" w:beforeAutospacing="0" w:after="0" w:afterAutospacing="0"/>
              <w:ind w:left="0" w:right="0"/>
              <w:jc w:val="center"/>
              <w:textAlignment w:val="top"/>
              <w:rPr>
                <w:bCs/>
                <w:szCs w:val="21"/>
              </w:rPr>
            </w:pPr>
            <w:r>
              <w:rPr>
                <w:bCs/>
                <w:szCs w:val="21"/>
              </w:rPr>
              <w:t>0.249</w:t>
            </w:r>
          </w:p>
        </w:tc>
        <w:tc>
          <w:tcPr>
            <w:tcW w:w="2841" w:type="dxa"/>
            <w:tcBorders>
              <w:tl2br w:val="nil"/>
              <w:tr2bl w:val="nil"/>
            </w:tcBorders>
          </w:tcPr>
          <w:p w14:paraId="4D12DEBD">
            <w:pPr>
              <w:keepNext w:val="0"/>
              <w:keepLines w:val="0"/>
              <w:widowControl/>
              <w:suppressLineNumbers w:val="0"/>
              <w:spacing w:before="0" w:beforeAutospacing="0" w:after="0" w:afterAutospacing="0"/>
              <w:ind w:left="0" w:right="0"/>
              <w:jc w:val="center"/>
              <w:textAlignment w:val="top"/>
              <w:rPr>
                <w:bCs/>
                <w:szCs w:val="21"/>
              </w:rPr>
            </w:pPr>
            <w:r>
              <w:rPr>
                <w:bCs/>
                <w:szCs w:val="21"/>
              </w:rPr>
              <w:t>3.82</w:t>
            </w:r>
          </w:p>
        </w:tc>
      </w:tr>
      <w:tr w14:paraId="0CA6E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0FD6D3E">
            <w:pPr>
              <w:keepNext w:val="0"/>
              <w:keepLines w:val="0"/>
              <w:widowControl/>
              <w:suppressLineNumbers w:val="0"/>
              <w:spacing w:before="0" w:beforeAutospacing="0" w:after="0" w:afterAutospacing="0"/>
              <w:ind w:left="0" w:right="0"/>
              <w:jc w:val="center"/>
              <w:textAlignment w:val="top"/>
              <w:rPr>
                <w:bCs/>
                <w:szCs w:val="21"/>
              </w:rPr>
            </w:pPr>
            <w:r>
              <w:rPr>
                <w:bCs/>
                <w:szCs w:val="21"/>
              </w:rPr>
              <w:t>-37</w:t>
            </w:r>
          </w:p>
        </w:tc>
        <w:tc>
          <w:tcPr>
            <w:tcW w:w="2839" w:type="dxa"/>
            <w:tcBorders>
              <w:tl2br w:val="nil"/>
              <w:tr2bl w:val="nil"/>
            </w:tcBorders>
          </w:tcPr>
          <w:p w14:paraId="32CCB3E6">
            <w:pPr>
              <w:keepNext w:val="0"/>
              <w:keepLines w:val="0"/>
              <w:widowControl/>
              <w:suppressLineNumbers w:val="0"/>
              <w:spacing w:before="0" w:beforeAutospacing="0" w:after="0" w:afterAutospacing="0"/>
              <w:ind w:left="0" w:right="0"/>
              <w:jc w:val="center"/>
              <w:textAlignment w:val="top"/>
              <w:rPr>
                <w:bCs/>
                <w:szCs w:val="21"/>
              </w:rPr>
            </w:pPr>
            <w:r>
              <w:rPr>
                <w:bCs/>
                <w:szCs w:val="21"/>
              </w:rPr>
              <w:t>0.255</w:t>
            </w:r>
          </w:p>
        </w:tc>
        <w:tc>
          <w:tcPr>
            <w:tcW w:w="2841" w:type="dxa"/>
            <w:tcBorders>
              <w:tl2br w:val="nil"/>
              <w:tr2bl w:val="nil"/>
            </w:tcBorders>
          </w:tcPr>
          <w:p w14:paraId="68EAC10C">
            <w:pPr>
              <w:keepNext w:val="0"/>
              <w:keepLines w:val="0"/>
              <w:widowControl/>
              <w:suppressLineNumbers w:val="0"/>
              <w:spacing w:before="0" w:beforeAutospacing="0" w:after="0" w:afterAutospacing="0"/>
              <w:ind w:left="0" w:right="0"/>
              <w:jc w:val="center"/>
              <w:textAlignment w:val="top"/>
              <w:rPr>
                <w:bCs/>
                <w:szCs w:val="21"/>
              </w:rPr>
            </w:pPr>
            <w:r>
              <w:rPr>
                <w:bCs/>
                <w:szCs w:val="21"/>
              </w:rPr>
              <w:t>4.02</w:t>
            </w:r>
          </w:p>
        </w:tc>
      </w:tr>
      <w:tr w14:paraId="45C6B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63BBE48">
            <w:pPr>
              <w:keepNext w:val="0"/>
              <w:keepLines w:val="0"/>
              <w:widowControl/>
              <w:suppressLineNumbers w:val="0"/>
              <w:spacing w:before="0" w:beforeAutospacing="0" w:after="0" w:afterAutospacing="0"/>
              <w:ind w:left="0" w:right="0"/>
              <w:jc w:val="center"/>
              <w:textAlignment w:val="top"/>
              <w:rPr>
                <w:bCs/>
                <w:szCs w:val="21"/>
              </w:rPr>
            </w:pPr>
            <w:r>
              <w:rPr>
                <w:bCs/>
                <w:szCs w:val="21"/>
              </w:rPr>
              <w:t>-36</w:t>
            </w:r>
          </w:p>
        </w:tc>
        <w:tc>
          <w:tcPr>
            <w:tcW w:w="2839" w:type="dxa"/>
            <w:tcBorders>
              <w:tl2br w:val="nil"/>
              <w:tr2bl w:val="nil"/>
            </w:tcBorders>
          </w:tcPr>
          <w:p w14:paraId="369B43CF">
            <w:pPr>
              <w:keepNext w:val="0"/>
              <w:keepLines w:val="0"/>
              <w:widowControl/>
              <w:suppressLineNumbers w:val="0"/>
              <w:spacing w:before="0" w:beforeAutospacing="0" w:after="0" w:afterAutospacing="0"/>
              <w:ind w:left="0" w:right="0"/>
              <w:jc w:val="center"/>
              <w:textAlignment w:val="top"/>
              <w:rPr>
                <w:bCs/>
                <w:szCs w:val="21"/>
              </w:rPr>
            </w:pPr>
            <w:r>
              <w:rPr>
                <w:bCs/>
                <w:szCs w:val="21"/>
              </w:rPr>
              <w:t>0.262</w:t>
            </w:r>
          </w:p>
        </w:tc>
        <w:tc>
          <w:tcPr>
            <w:tcW w:w="2841" w:type="dxa"/>
            <w:tcBorders>
              <w:tl2br w:val="nil"/>
              <w:tr2bl w:val="nil"/>
            </w:tcBorders>
          </w:tcPr>
          <w:p w14:paraId="3CB9D643">
            <w:pPr>
              <w:keepNext w:val="0"/>
              <w:keepLines w:val="0"/>
              <w:widowControl/>
              <w:suppressLineNumbers w:val="0"/>
              <w:spacing w:before="0" w:beforeAutospacing="0" w:after="0" w:afterAutospacing="0"/>
              <w:ind w:left="0" w:right="0"/>
              <w:jc w:val="center"/>
              <w:textAlignment w:val="top"/>
              <w:rPr>
                <w:bCs/>
                <w:szCs w:val="21"/>
              </w:rPr>
            </w:pPr>
            <w:r>
              <w:rPr>
                <w:bCs/>
                <w:szCs w:val="21"/>
              </w:rPr>
              <w:t>4.24</w:t>
            </w:r>
          </w:p>
        </w:tc>
      </w:tr>
      <w:tr w14:paraId="11A47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BC78295">
            <w:pPr>
              <w:keepNext w:val="0"/>
              <w:keepLines w:val="0"/>
              <w:widowControl/>
              <w:suppressLineNumbers w:val="0"/>
              <w:spacing w:before="0" w:beforeAutospacing="0" w:after="0" w:afterAutospacing="0"/>
              <w:ind w:left="0" w:right="0"/>
              <w:jc w:val="center"/>
              <w:textAlignment w:val="top"/>
              <w:rPr>
                <w:bCs/>
                <w:szCs w:val="21"/>
              </w:rPr>
            </w:pPr>
            <w:r>
              <w:rPr>
                <w:bCs/>
                <w:szCs w:val="21"/>
              </w:rPr>
              <w:t>-35</w:t>
            </w:r>
          </w:p>
        </w:tc>
        <w:tc>
          <w:tcPr>
            <w:tcW w:w="2839" w:type="dxa"/>
            <w:tcBorders>
              <w:tl2br w:val="nil"/>
              <w:tr2bl w:val="nil"/>
            </w:tcBorders>
          </w:tcPr>
          <w:p w14:paraId="56BE2BEA">
            <w:pPr>
              <w:keepNext w:val="0"/>
              <w:keepLines w:val="0"/>
              <w:widowControl/>
              <w:suppressLineNumbers w:val="0"/>
              <w:spacing w:before="0" w:beforeAutospacing="0" w:after="0" w:afterAutospacing="0"/>
              <w:ind w:left="0" w:right="0"/>
              <w:jc w:val="center"/>
              <w:textAlignment w:val="top"/>
              <w:rPr>
                <w:bCs/>
                <w:szCs w:val="21"/>
              </w:rPr>
            </w:pPr>
            <w:r>
              <w:rPr>
                <w:bCs/>
                <w:szCs w:val="21"/>
              </w:rPr>
              <w:t>0.269</w:t>
            </w:r>
          </w:p>
        </w:tc>
        <w:tc>
          <w:tcPr>
            <w:tcW w:w="2841" w:type="dxa"/>
            <w:tcBorders>
              <w:tl2br w:val="nil"/>
              <w:tr2bl w:val="nil"/>
            </w:tcBorders>
          </w:tcPr>
          <w:p w14:paraId="450A11E4">
            <w:pPr>
              <w:keepNext w:val="0"/>
              <w:keepLines w:val="0"/>
              <w:widowControl/>
              <w:suppressLineNumbers w:val="0"/>
              <w:spacing w:before="0" w:beforeAutospacing="0" w:after="0" w:afterAutospacing="0"/>
              <w:ind w:left="0" w:right="0"/>
              <w:jc w:val="center"/>
              <w:textAlignment w:val="top"/>
              <w:rPr>
                <w:bCs/>
                <w:szCs w:val="21"/>
              </w:rPr>
            </w:pPr>
            <w:r>
              <w:rPr>
                <w:bCs/>
                <w:szCs w:val="21"/>
              </w:rPr>
              <w:t>4.47</w:t>
            </w:r>
          </w:p>
        </w:tc>
      </w:tr>
      <w:tr w14:paraId="55323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B26BF0E">
            <w:pPr>
              <w:keepNext w:val="0"/>
              <w:keepLines w:val="0"/>
              <w:widowControl/>
              <w:suppressLineNumbers w:val="0"/>
              <w:spacing w:before="0" w:beforeAutospacing="0" w:after="0" w:afterAutospacing="0"/>
              <w:ind w:left="0" w:right="0"/>
              <w:jc w:val="center"/>
              <w:textAlignment w:val="top"/>
              <w:rPr>
                <w:bCs/>
                <w:szCs w:val="21"/>
              </w:rPr>
            </w:pPr>
            <w:r>
              <w:rPr>
                <w:bCs/>
                <w:szCs w:val="21"/>
              </w:rPr>
              <w:t>-34</w:t>
            </w:r>
          </w:p>
        </w:tc>
        <w:tc>
          <w:tcPr>
            <w:tcW w:w="2839" w:type="dxa"/>
            <w:tcBorders>
              <w:tl2br w:val="nil"/>
              <w:tr2bl w:val="nil"/>
            </w:tcBorders>
          </w:tcPr>
          <w:p w14:paraId="0B55310F">
            <w:pPr>
              <w:keepNext w:val="0"/>
              <w:keepLines w:val="0"/>
              <w:widowControl/>
              <w:suppressLineNumbers w:val="0"/>
              <w:spacing w:before="0" w:beforeAutospacing="0" w:after="0" w:afterAutospacing="0"/>
              <w:ind w:left="0" w:right="0"/>
              <w:jc w:val="center"/>
              <w:textAlignment w:val="top"/>
              <w:rPr>
                <w:bCs/>
                <w:szCs w:val="21"/>
              </w:rPr>
            </w:pPr>
            <w:r>
              <w:rPr>
                <w:bCs/>
                <w:szCs w:val="21"/>
              </w:rPr>
              <w:t>0.275</w:t>
            </w:r>
          </w:p>
        </w:tc>
        <w:tc>
          <w:tcPr>
            <w:tcW w:w="2841" w:type="dxa"/>
            <w:tcBorders>
              <w:tl2br w:val="nil"/>
              <w:tr2bl w:val="nil"/>
            </w:tcBorders>
          </w:tcPr>
          <w:p w14:paraId="0EEBAFAC">
            <w:pPr>
              <w:keepNext w:val="0"/>
              <w:keepLines w:val="0"/>
              <w:widowControl/>
              <w:suppressLineNumbers w:val="0"/>
              <w:spacing w:before="0" w:beforeAutospacing="0" w:after="0" w:afterAutospacing="0"/>
              <w:ind w:left="0" w:right="0"/>
              <w:jc w:val="center"/>
              <w:textAlignment w:val="top"/>
              <w:rPr>
                <w:bCs/>
                <w:szCs w:val="21"/>
              </w:rPr>
            </w:pPr>
            <w:r>
              <w:rPr>
                <w:bCs/>
                <w:szCs w:val="21"/>
              </w:rPr>
              <w:t>4.72</w:t>
            </w:r>
          </w:p>
        </w:tc>
      </w:tr>
      <w:tr w14:paraId="41872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3FC4730">
            <w:pPr>
              <w:keepNext w:val="0"/>
              <w:keepLines w:val="0"/>
              <w:widowControl/>
              <w:suppressLineNumbers w:val="0"/>
              <w:spacing w:before="0" w:beforeAutospacing="0" w:after="0" w:afterAutospacing="0"/>
              <w:ind w:left="0" w:right="0"/>
              <w:jc w:val="center"/>
              <w:textAlignment w:val="top"/>
              <w:rPr>
                <w:bCs/>
                <w:szCs w:val="21"/>
              </w:rPr>
            </w:pPr>
            <w:r>
              <w:rPr>
                <w:bCs/>
                <w:szCs w:val="21"/>
              </w:rPr>
              <w:t>-33</w:t>
            </w:r>
          </w:p>
        </w:tc>
        <w:tc>
          <w:tcPr>
            <w:tcW w:w="2839" w:type="dxa"/>
            <w:tcBorders>
              <w:tl2br w:val="nil"/>
              <w:tr2bl w:val="nil"/>
            </w:tcBorders>
          </w:tcPr>
          <w:p w14:paraId="280715A9">
            <w:pPr>
              <w:keepNext w:val="0"/>
              <w:keepLines w:val="0"/>
              <w:widowControl/>
              <w:suppressLineNumbers w:val="0"/>
              <w:spacing w:before="0" w:beforeAutospacing="0" w:after="0" w:afterAutospacing="0"/>
              <w:ind w:left="0" w:right="0"/>
              <w:jc w:val="center"/>
              <w:textAlignment w:val="top"/>
              <w:rPr>
                <w:bCs/>
                <w:szCs w:val="21"/>
              </w:rPr>
            </w:pPr>
            <w:r>
              <w:rPr>
                <w:bCs/>
                <w:szCs w:val="21"/>
              </w:rPr>
              <w:t>0.282</w:t>
            </w:r>
          </w:p>
        </w:tc>
        <w:tc>
          <w:tcPr>
            <w:tcW w:w="2841" w:type="dxa"/>
            <w:tcBorders>
              <w:tl2br w:val="nil"/>
              <w:tr2bl w:val="nil"/>
            </w:tcBorders>
          </w:tcPr>
          <w:p w14:paraId="182AB0CC">
            <w:pPr>
              <w:keepNext w:val="0"/>
              <w:keepLines w:val="0"/>
              <w:widowControl/>
              <w:suppressLineNumbers w:val="0"/>
              <w:spacing w:before="0" w:beforeAutospacing="0" w:after="0" w:afterAutospacing="0"/>
              <w:ind w:left="0" w:right="0"/>
              <w:jc w:val="center"/>
              <w:textAlignment w:val="top"/>
              <w:rPr>
                <w:bCs/>
                <w:szCs w:val="21"/>
              </w:rPr>
            </w:pPr>
            <w:r>
              <w:rPr>
                <w:bCs/>
                <w:szCs w:val="21"/>
              </w:rPr>
              <w:t>4.99</w:t>
            </w:r>
          </w:p>
        </w:tc>
      </w:tr>
      <w:tr w14:paraId="7D6DA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DDE6D41">
            <w:pPr>
              <w:keepNext w:val="0"/>
              <w:keepLines w:val="0"/>
              <w:widowControl/>
              <w:suppressLineNumbers w:val="0"/>
              <w:spacing w:before="0" w:beforeAutospacing="0" w:after="0" w:afterAutospacing="0"/>
              <w:ind w:left="0" w:right="0"/>
              <w:jc w:val="center"/>
              <w:textAlignment w:val="top"/>
              <w:rPr>
                <w:bCs/>
                <w:szCs w:val="21"/>
              </w:rPr>
            </w:pPr>
            <w:r>
              <w:rPr>
                <w:bCs/>
                <w:szCs w:val="21"/>
              </w:rPr>
              <w:t>-32</w:t>
            </w:r>
          </w:p>
        </w:tc>
        <w:tc>
          <w:tcPr>
            <w:tcW w:w="2839" w:type="dxa"/>
            <w:tcBorders>
              <w:tl2br w:val="nil"/>
              <w:tr2bl w:val="nil"/>
            </w:tcBorders>
          </w:tcPr>
          <w:p w14:paraId="6B4A3934">
            <w:pPr>
              <w:keepNext w:val="0"/>
              <w:keepLines w:val="0"/>
              <w:widowControl/>
              <w:suppressLineNumbers w:val="0"/>
              <w:spacing w:before="0" w:beforeAutospacing="0" w:after="0" w:afterAutospacing="0"/>
              <w:ind w:left="0" w:right="0"/>
              <w:jc w:val="center"/>
              <w:textAlignment w:val="top"/>
              <w:rPr>
                <w:bCs/>
                <w:szCs w:val="21"/>
              </w:rPr>
            </w:pPr>
            <w:r>
              <w:rPr>
                <w:bCs/>
                <w:szCs w:val="21"/>
              </w:rPr>
              <w:t>0.288</w:t>
            </w:r>
          </w:p>
        </w:tc>
        <w:tc>
          <w:tcPr>
            <w:tcW w:w="2841" w:type="dxa"/>
            <w:tcBorders>
              <w:tl2br w:val="nil"/>
              <w:tr2bl w:val="nil"/>
            </w:tcBorders>
          </w:tcPr>
          <w:p w14:paraId="65E83554">
            <w:pPr>
              <w:keepNext w:val="0"/>
              <w:keepLines w:val="0"/>
              <w:widowControl/>
              <w:suppressLineNumbers w:val="0"/>
              <w:spacing w:before="0" w:beforeAutospacing="0" w:after="0" w:afterAutospacing="0"/>
              <w:ind w:left="0" w:right="0"/>
              <w:jc w:val="center"/>
              <w:textAlignment w:val="top"/>
              <w:rPr>
                <w:bCs/>
                <w:szCs w:val="21"/>
              </w:rPr>
            </w:pPr>
            <w:r>
              <w:rPr>
                <w:bCs/>
                <w:szCs w:val="21"/>
              </w:rPr>
              <w:t>5.29</w:t>
            </w:r>
          </w:p>
        </w:tc>
      </w:tr>
      <w:tr w14:paraId="39CE3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FF3310C">
            <w:pPr>
              <w:keepNext w:val="0"/>
              <w:keepLines w:val="0"/>
              <w:widowControl/>
              <w:suppressLineNumbers w:val="0"/>
              <w:spacing w:before="0" w:beforeAutospacing="0" w:after="0" w:afterAutospacing="0"/>
              <w:ind w:left="0" w:right="0"/>
              <w:jc w:val="center"/>
              <w:textAlignment w:val="top"/>
              <w:rPr>
                <w:bCs/>
                <w:szCs w:val="21"/>
              </w:rPr>
            </w:pPr>
            <w:r>
              <w:rPr>
                <w:bCs/>
                <w:szCs w:val="21"/>
              </w:rPr>
              <w:t>-31</w:t>
            </w:r>
          </w:p>
        </w:tc>
        <w:tc>
          <w:tcPr>
            <w:tcW w:w="2839" w:type="dxa"/>
            <w:tcBorders>
              <w:tl2br w:val="nil"/>
              <w:tr2bl w:val="nil"/>
            </w:tcBorders>
          </w:tcPr>
          <w:p w14:paraId="5AEE712B">
            <w:pPr>
              <w:keepNext w:val="0"/>
              <w:keepLines w:val="0"/>
              <w:widowControl/>
              <w:suppressLineNumbers w:val="0"/>
              <w:spacing w:before="0" w:beforeAutospacing="0" w:after="0" w:afterAutospacing="0"/>
              <w:ind w:left="0" w:right="0"/>
              <w:jc w:val="center"/>
              <w:textAlignment w:val="top"/>
              <w:rPr>
                <w:bCs/>
                <w:szCs w:val="21"/>
              </w:rPr>
            </w:pPr>
            <w:r>
              <w:rPr>
                <w:bCs/>
                <w:szCs w:val="21"/>
              </w:rPr>
              <w:t>0.293</w:t>
            </w:r>
          </w:p>
        </w:tc>
        <w:tc>
          <w:tcPr>
            <w:tcW w:w="2841" w:type="dxa"/>
            <w:tcBorders>
              <w:tl2br w:val="nil"/>
              <w:tr2bl w:val="nil"/>
            </w:tcBorders>
          </w:tcPr>
          <w:p w14:paraId="15CD92A3">
            <w:pPr>
              <w:keepNext w:val="0"/>
              <w:keepLines w:val="0"/>
              <w:widowControl/>
              <w:suppressLineNumbers w:val="0"/>
              <w:spacing w:before="0" w:beforeAutospacing="0" w:after="0" w:afterAutospacing="0"/>
              <w:ind w:left="0" w:right="0"/>
              <w:jc w:val="center"/>
              <w:textAlignment w:val="top"/>
              <w:rPr>
                <w:bCs/>
                <w:szCs w:val="21"/>
              </w:rPr>
            </w:pPr>
            <w:r>
              <w:rPr>
                <w:bCs/>
                <w:szCs w:val="21"/>
              </w:rPr>
              <w:t>5.61</w:t>
            </w:r>
          </w:p>
        </w:tc>
      </w:tr>
      <w:tr w14:paraId="2CB04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C39E11D">
            <w:pPr>
              <w:keepNext w:val="0"/>
              <w:keepLines w:val="0"/>
              <w:widowControl/>
              <w:suppressLineNumbers w:val="0"/>
              <w:spacing w:before="0" w:beforeAutospacing="0" w:after="0" w:afterAutospacing="0"/>
              <w:ind w:left="0" w:right="0"/>
              <w:jc w:val="center"/>
              <w:textAlignment w:val="top"/>
              <w:rPr>
                <w:bCs/>
                <w:szCs w:val="21"/>
              </w:rPr>
            </w:pPr>
            <w:r>
              <w:rPr>
                <w:bCs/>
                <w:szCs w:val="21"/>
              </w:rPr>
              <w:t>-30</w:t>
            </w:r>
          </w:p>
        </w:tc>
        <w:tc>
          <w:tcPr>
            <w:tcW w:w="2839" w:type="dxa"/>
            <w:tcBorders>
              <w:tl2br w:val="nil"/>
              <w:tr2bl w:val="nil"/>
            </w:tcBorders>
          </w:tcPr>
          <w:p w14:paraId="6BEA7363">
            <w:pPr>
              <w:keepNext w:val="0"/>
              <w:keepLines w:val="0"/>
              <w:widowControl/>
              <w:suppressLineNumbers w:val="0"/>
              <w:spacing w:before="0" w:beforeAutospacing="0" w:after="0" w:afterAutospacing="0"/>
              <w:ind w:left="0" w:right="0"/>
              <w:jc w:val="center"/>
              <w:textAlignment w:val="top"/>
              <w:rPr>
                <w:bCs/>
                <w:szCs w:val="21"/>
              </w:rPr>
            </w:pPr>
            <w:r>
              <w:rPr>
                <w:bCs/>
                <w:szCs w:val="21"/>
              </w:rPr>
              <w:t>0.298</w:t>
            </w:r>
          </w:p>
        </w:tc>
        <w:tc>
          <w:tcPr>
            <w:tcW w:w="2841" w:type="dxa"/>
            <w:tcBorders>
              <w:tl2br w:val="nil"/>
              <w:tr2bl w:val="nil"/>
            </w:tcBorders>
          </w:tcPr>
          <w:p w14:paraId="52D4FD7C">
            <w:pPr>
              <w:keepNext w:val="0"/>
              <w:keepLines w:val="0"/>
              <w:widowControl/>
              <w:suppressLineNumbers w:val="0"/>
              <w:spacing w:before="0" w:beforeAutospacing="0" w:after="0" w:afterAutospacing="0"/>
              <w:ind w:left="0" w:right="0"/>
              <w:jc w:val="center"/>
              <w:textAlignment w:val="top"/>
              <w:rPr>
                <w:bCs/>
                <w:szCs w:val="21"/>
              </w:rPr>
            </w:pPr>
            <w:r>
              <w:rPr>
                <w:bCs/>
                <w:szCs w:val="21"/>
              </w:rPr>
              <w:t>5.96</w:t>
            </w:r>
          </w:p>
        </w:tc>
      </w:tr>
      <w:tr w14:paraId="56465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39DA1F9">
            <w:pPr>
              <w:keepNext w:val="0"/>
              <w:keepLines w:val="0"/>
              <w:widowControl/>
              <w:suppressLineNumbers w:val="0"/>
              <w:spacing w:before="0" w:beforeAutospacing="0" w:after="0" w:afterAutospacing="0"/>
              <w:ind w:left="0" w:right="0"/>
              <w:jc w:val="center"/>
              <w:textAlignment w:val="top"/>
              <w:rPr>
                <w:bCs/>
                <w:szCs w:val="21"/>
              </w:rPr>
            </w:pPr>
            <w:r>
              <w:rPr>
                <w:bCs/>
                <w:szCs w:val="21"/>
              </w:rPr>
              <w:t>-29</w:t>
            </w:r>
          </w:p>
        </w:tc>
        <w:tc>
          <w:tcPr>
            <w:tcW w:w="2839" w:type="dxa"/>
            <w:tcBorders>
              <w:tl2br w:val="nil"/>
              <w:tr2bl w:val="nil"/>
            </w:tcBorders>
          </w:tcPr>
          <w:p w14:paraId="78A8F234">
            <w:pPr>
              <w:keepNext w:val="0"/>
              <w:keepLines w:val="0"/>
              <w:widowControl/>
              <w:suppressLineNumbers w:val="0"/>
              <w:spacing w:before="0" w:beforeAutospacing="0" w:after="0" w:afterAutospacing="0"/>
              <w:ind w:left="0" w:right="0"/>
              <w:jc w:val="center"/>
              <w:textAlignment w:val="top"/>
              <w:rPr>
                <w:bCs/>
                <w:szCs w:val="21"/>
              </w:rPr>
            </w:pPr>
            <w:r>
              <w:rPr>
                <w:bCs/>
                <w:szCs w:val="21"/>
              </w:rPr>
              <w:t>0.303</w:t>
            </w:r>
          </w:p>
        </w:tc>
        <w:tc>
          <w:tcPr>
            <w:tcW w:w="2841" w:type="dxa"/>
            <w:tcBorders>
              <w:tl2br w:val="nil"/>
              <w:tr2bl w:val="nil"/>
            </w:tcBorders>
          </w:tcPr>
          <w:p w14:paraId="245C1AD3">
            <w:pPr>
              <w:keepNext w:val="0"/>
              <w:keepLines w:val="0"/>
              <w:widowControl/>
              <w:suppressLineNumbers w:val="0"/>
              <w:spacing w:before="0" w:beforeAutospacing="0" w:after="0" w:afterAutospacing="0"/>
              <w:ind w:left="0" w:right="0"/>
              <w:jc w:val="center"/>
              <w:textAlignment w:val="top"/>
              <w:rPr>
                <w:bCs/>
                <w:szCs w:val="21"/>
              </w:rPr>
            </w:pPr>
            <w:r>
              <w:rPr>
                <w:bCs/>
                <w:szCs w:val="21"/>
              </w:rPr>
              <w:t>6.34</w:t>
            </w:r>
          </w:p>
        </w:tc>
      </w:tr>
      <w:tr w14:paraId="1EB5C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8A9B3AA">
            <w:pPr>
              <w:keepNext w:val="0"/>
              <w:keepLines w:val="0"/>
              <w:widowControl/>
              <w:suppressLineNumbers w:val="0"/>
              <w:spacing w:before="0" w:beforeAutospacing="0" w:after="0" w:afterAutospacing="0"/>
              <w:ind w:left="0" w:right="0"/>
              <w:jc w:val="center"/>
              <w:textAlignment w:val="top"/>
              <w:rPr>
                <w:bCs/>
                <w:szCs w:val="21"/>
              </w:rPr>
            </w:pPr>
            <w:r>
              <w:rPr>
                <w:bCs/>
                <w:szCs w:val="21"/>
              </w:rPr>
              <w:t>-28</w:t>
            </w:r>
          </w:p>
        </w:tc>
        <w:tc>
          <w:tcPr>
            <w:tcW w:w="2839" w:type="dxa"/>
            <w:tcBorders>
              <w:tl2br w:val="nil"/>
              <w:tr2bl w:val="nil"/>
            </w:tcBorders>
          </w:tcPr>
          <w:p w14:paraId="4D8C2E1B">
            <w:pPr>
              <w:keepNext w:val="0"/>
              <w:keepLines w:val="0"/>
              <w:widowControl/>
              <w:suppressLineNumbers w:val="0"/>
              <w:spacing w:before="0" w:beforeAutospacing="0" w:after="0" w:afterAutospacing="0"/>
              <w:ind w:left="0" w:right="0"/>
              <w:jc w:val="center"/>
              <w:textAlignment w:val="top"/>
              <w:rPr>
                <w:bCs/>
                <w:szCs w:val="21"/>
              </w:rPr>
            </w:pPr>
            <w:r>
              <w:rPr>
                <w:bCs/>
                <w:szCs w:val="21"/>
              </w:rPr>
              <w:t>0.307</w:t>
            </w:r>
          </w:p>
        </w:tc>
        <w:tc>
          <w:tcPr>
            <w:tcW w:w="2841" w:type="dxa"/>
            <w:tcBorders>
              <w:tl2br w:val="nil"/>
              <w:tr2bl w:val="nil"/>
            </w:tcBorders>
          </w:tcPr>
          <w:p w14:paraId="3FA164E2">
            <w:pPr>
              <w:keepNext w:val="0"/>
              <w:keepLines w:val="0"/>
              <w:widowControl/>
              <w:suppressLineNumbers w:val="0"/>
              <w:spacing w:before="0" w:beforeAutospacing="0" w:after="0" w:afterAutospacing="0"/>
              <w:ind w:left="0" w:right="0"/>
              <w:jc w:val="center"/>
              <w:textAlignment w:val="top"/>
              <w:rPr>
                <w:bCs/>
                <w:szCs w:val="21"/>
              </w:rPr>
            </w:pPr>
            <w:r>
              <w:rPr>
                <w:bCs/>
                <w:szCs w:val="21"/>
              </w:rPr>
              <w:t>6.76</w:t>
            </w:r>
          </w:p>
        </w:tc>
      </w:tr>
      <w:tr w14:paraId="29212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B7068ED">
            <w:pPr>
              <w:keepNext w:val="0"/>
              <w:keepLines w:val="0"/>
              <w:widowControl/>
              <w:suppressLineNumbers w:val="0"/>
              <w:spacing w:before="0" w:beforeAutospacing="0" w:after="0" w:afterAutospacing="0"/>
              <w:ind w:left="0" w:right="0"/>
              <w:jc w:val="center"/>
              <w:textAlignment w:val="top"/>
              <w:rPr>
                <w:bCs/>
                <w:szCs w:val="21"/>
              </w:rPr>
            </w:pPr>
            <w:r>
              <w:rPr>
                <w:bCs/>
                <w:szCs w:val="21"/>
              </w:rPr>
              <w:t>-27</w:t>
            </w:r>
          </w:p>
        </w:tc>
        <w:tc>
          <w:tcPr>
            <w:tcW w:w="2839" w:type="dxa"/>
            <w:tcBorders>
              <w:tl2br w:val="nil"/>
              <w:tr2bl w:val="nil"/>
            </w:tcBorders>
          </w:tcPr>
          <w:p w14:paraId="5EC5B182">
            <w:pPr>
              <w:keepNext w:val="0"/>
              <w:keepLines w:val="0"/>
              <w:widowControl/>
              <w:suppressLineNumbers w:val="0"/>
              <w:spacing w:before="0" w:beforeAutospacing="0" w:after="0" w:afterAutospacing="0"/>
              <w:ind w:left="0" w:right="0"/>
              <w:jc w:val="center"/>
              <w:textAlignment w:val="top"/>
              <w:rPr>
                <w:bCs/>
                <w:szCs w:val="21"/>
              </w:rPr>
            </w:pPr>
            <w:r>
              <w:rPr>
                <w:bCs/>
                <w:szCs w:val="21"/>
              </w:rPr>
              <w:t>0.311</w:t>
            </w:r>
          </w:p>
        </w:tc>
        <w:tc>
          <w:tcPr>
            <w:tcW w:w="2841" w:type="dxa"/>
            <w:tcBorders>
              <w:tl2br w:val="nil"/>
              <w:tr2bl w:val="nil"/>
            </w:tcBorders>
          </w:tcPr>
          <w:p w14:paraId="32327079">
            <w:pPr>
              <w:keepNext w:val="0"/>
              <w:keepLines w:val="0"/>
              <w:widowControl/>
              <w:suppressLineNumbers w:val="0"/>
              <w:spacing w:before="0" w:beforeAutospacing="0" w:after="0" w:afterAutospacing="0"/>
              <w:ind w:left="0" w:right="0"/>
              <w:jc w:val="center"/>
              <w:textAlignment w:val="top"/>
              <w:rPr>
                <w:bCs/>
                <w:szCs w:val="21"/>
              </w:rPr>
            </w:pPr>
            <w:r>
              <w:rPr>
                <w:bCs/>
                <w:szCs w:val="21"/>
              </w:rPr>
              <w:t>7.22</w:t>
            </w:r>
          </w:p>
        </w:tc>
      </w:tr>
      <w:tr w14:paraId="278F7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67D891C">
            <w:pPr>
              <w:keepNext w:val="0"/>
              <w:keepLines w:val="0"/>
              <w:widowControl/>
              <w:suppressLineNumbers w:val="0"/>
              <w:spacing w:before="0" w:beforeAutospacing="0" w:after="0" w:afterAutospacing="0"/>
              <w:ind w:left="0" w:right="0"/>
              <w:jc w:val="center"/>
              <w:textAlignment w:val="top"/>
              <w:rPr>
                <w:bCs/>
                <w:szCs w:val="21"/>
              </w:rPr>
            </w:pPr>
            <w:r>
              <w:rPr>
                <w:bCs/>
                <w:szCs w:val="21"/>
              </w:rPr>
              <w:t>-26</w:t>
            </w:r>
          </w:p>
        </w:tc>
        <w:tc>
          <w:tcPr>
            <w:tcW w:w="2839" w:type="dxa"/>
            <w:tcBorders>
              <w:tl2br w:val="nil"/>
              <w:tr2bl w:val="nil"/>
            </w:tcBorders>
          </w:tcPr>
          <w:p w14:paraId="57444429">
            <w:pPr>
              <w:keepNext w:val="0"/>
              <w:keepLines w:val="0"/>
              <w:widowControl/>
              <w:suppressLineNumbers w:val="0"/>
              <w:spacing w:before="0" w:beforeAutospacing="0" w:after="0" w:afterAutospacing="0"/>
              <w:ind w:left="0" w:right="0"/>
              <w:jc w:val="center"/>
              <w:textAlignment w:val="top"/>
              <w:rPr>
                <w:bCs/>
                <w:szCs w:val="21"/>
              </w:rPr>
            </w:pPr>
            <w:r>
              <w:rPr>
                <w:bCs/>
                <w:szCs w:val="21"/>
              </w:rPr>
              <w:t>0.315</w:t>
            </w:r>
          </w:p>
        </w:tc>
        <w:tc>
          <w:tcPr>
            <w:tcW w:w="2841" w:type="dxa"/>
            <w:tcBorders>
              <w:tl2br w:val="nil"/>
              <w:tr2bl w:val="nil"/>
            </w:tcBorders>
          </w:tcPr>
          <w:p w14:paraId="7894B040">
            <w:pPr>
              <w:keepNext w:val="0"/>
              <w:keepLines w:val="0"/>
              <w:widowControl/>
              <w:suppressLineNumbers w:val="0"/>
              <w:spacing w:before="0" w:beforeAutospacing="0" w:after="0" w:afterAutospacing="0"/>
              <w:ind w:left="0" w:right="0"/>
              <w:jc w:val="center"/>
              <w:textAlignment w:val="top"/>
              <w:rPr>
                <w:bCs/>
                <w:szCs w:val="21"/>
              </w:rPr>
            </w:pPr>
            <w:r>
              <w:rPr>
                <w:bCs/>
                <w:szCs w:val="21"/>
              </w:rPr>
              <w:t>7.73</w:t>
            </w:r>
          </w:p>
        </w:tc>
      </w:tr>
      <w:tr w14:paraId="24D30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3459C9C">
            <w:pPr>
              <w:keepNext w:val="0"/>
              <w:keepLines w:val="0"/>
              <w:widowControl/>
              <w:suppressLineNumbers w:val="0"/>
              <w:spacing w:before="0" w:beforeAutospacing="0" w:after="0" w:afterAutospacing="0"/>
              <w:ind w:left="0" w:right="0"/>
              <w:jc w:val="center"/>
              <w:textAlignment w:val="top"/>
              <w:rPr>
                <w:bCs/>
                <w:szCs w:val="21"/>
              </w:rPr>
            </w:pPr>
            <w:r>
              <w:rPr>
                <w:bCs/>
                <w:szCs w:val="21"/>
              </w:rPr>
              <w:t>-25</w:t>
            </w:r>
          </w:p>
        </w:tc>
        <w:tc>
          <w:tcPr>
            <w:tcW w:w="2839" w:type="dxa"/>
            <w:tcBorders>
              <w:tl2br w:val="nil"/>
              <w:tr2bl w:val="nil"/>
            </w:tcBorders>
          </w:tcPr>
          <w:p w14:paraId="67040FBB">
            <w:pPr>
              <w:keepNext w:val="0"/>
              <w:keepLines w:val="0"/>
              <w:widowControl/>
              <w:suppressLineNumbers w:val="0"/>
              <w:spacing w:before="0" w:beforeAutospacing="0" w:after="0" w:afterAutospacing="0"/>
              <w:ind w:left="0" w:right="0"/>
              <w:jc w:val="center"/>
              <w:textAlignment w:val="top"/>
              <w:rPr>
                <w:bCs/>
                <w:szCs w:val="21"/>
              </w:rPr>
            </w:pPr>
            <w:r>
              <w:rPr>
                <w:bCs/>
                <w:szCs w:val="21"/>
              </w:rPr>
              <w:t>0.32</w:t>
            </w:r>
          </w:p>
        </w:tc>
        <w:tc>
          <w:tcPr>
            <w:tcW w:w="2841" w:type="dxa"/>
            <w:tcBorders>
              <w:tl2br w:val="nil"/>
              <w:tr2bl w:val="nil"/>
            </w:tcBorders>
          </w:tcPr>
          <w:p w14:paraId="7B1AF74F">
            <w:pPr>
              <w:keepNext w:val="0"/>
              <w:keepLines w:val="0"/>
              <w:widowControl/>
              <w:suppressLineNumbers w:val="0"/>
              <w:spacing w:before="0" w:beforeAutospacing="0" w:after="0" w:afterAutospacing="0"/>
              <w:ind w:left="0" w:right="0"/>
              <w:jc w:val="center"/>
              <w:textAlignment w:val="top"/>
              <w:rPr>
                <w:bCs/>
                <w:szCs w:val="21"/>
              </w:rPr>
            </w:pPr>
            <w:r>
              <w:rPr>
                <w:bCs/>
                <w:szCs w:val="21"/>
              </w:rPr>
              <w:t>8.28</w:t>
            </w:r>
          </w:p>
        </w:tc>
      </w:tr>
      <w:tr w14:paraId="1C95B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5C37700">
            <w:pPr>
              <w:keepNext w:val="0"/>
              <w:keepLines w:val="0"/>
              <w:widowControl/>
              <w:suppressLineNumbers w:val="0"/>
              <w:spacing w:before="0" w:beforeAutospacing="0" w:after="0" w:afterAutospacing="0"/>
              <w:ind w:left="0" w:right="0"/>
              <w:jc w:val="center"/>
              <w:textAlignment w:val="top"/>
              <w:rPr>
                <w:bCs/>
                <w:szCs w:val="21"/>
              </w:rPr>
            </w:pPr>
            <w:r>
              <w:rPr>
                <w:bCs/>
                <w:szCs w:val="21"/>
              </w:rPr>
              <w:t>-24</w:t>
            </w:r>
          </w:p>
        </w:tc>
        <w:tc>
          <w:tcPr>
            <w:tcW w:w="2839" w:type="dxa"/>
            <w:tcBorders>
              <w:tl2br w:val="nil"/>
              <w:tr2bl w:val="nil"/>
            </w:tcBorders>
          </w:tcPr>
          <w:p w14:paraId="0ED66F6A">
            <w:pPr>
              <w:keepNext w:val="0"/>
              <w:keepLines w:val="0"/>
              <w:widowControl/>
              <w:suppressLineNumbers w:val="0"/>
              <w:spacing w:before="0" w:beforeAutospacing="0" w:after="0" w:afterAutospacing="0"/>
              <w:ind w:left="0" w:right="0"/>
              <w:jc w:val="center"/>
              <w:textAlignment w:val="top"/>
              <w:rPr>
                <w:bCs/>
                <w:szCs w:val="21"/>
              </w:rPr>
            </w:pPr>
            <w:r>
              <w:rPr>
                <w:bCs/>
                <w:szCs w:val="21"/>
              </w:rPr>
              <w:t>0.327</w:t>
            </w:r>
          </w:p>
        </w:tc>
        <w:tc>
          <w:tcPr>
            <w:tcW w:w="2841" w:type="dxa"/>
            <w:tcBorders>
              <w:tl2br w:val="nil"/>
              <w:tr2bl w:val="nil"/>
            </w:tcBorders>
          </w:tcPr>
          <w:p w14:paraId="5F10FB9F">
            <w:pPr>
              <w:keepNext w:val="0"/>
              <w:keepLines w:val="0"/>
              <w:widowControl/>
              <w:suppressLineNumbers w:val="0"/>
              <w:spacing w:before="0" w:beforeAutospacing="0" w:after="0" w:afterAutospacing="0"/>
              <w:ind w:left="0" w:right="0"/>
              <w:jc w:val="center"/>
              <w:textAlignment w:val="top"/>
              <w:rPr>
                <w:bCs/>
                <w:szCs w:val="21"/>
              </w:rPr>
            </w:pPr>
            <w:r>
              <w:rPr>
                <w:bCs/>
                <w:szCs w:val="21"/>
              </w:rPr>
              <w:t>8.9</w:t>
            </w:r>
          </w:p>
        </w:tc>
      </w:tr>
      <w:tr w14:paraId="625B4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78A04C7">
            <w:pPr>
              <w:keepNext w:val="0"/>
              <w:keepLines w:val="0"/>
              <w:widowControl/>
              <w:suppressLineNumbers w:val="0"/>
              <w:spacing w:before="0" w:beforeAutospacing="0" w:after="0" w:afterAutospacing="0"/>
              <w:ind w:left="0" w:right="0"/>
              <w:jc w:val="center"/>
              <w:textAlignment w:val="top"/>
              <w:rPr>
                <w:bCs/>
                <w:szCs w:val="21"/>
              </w:rPr>
            </w:pPr>
            <w:r>
              <w:rPr>
                <w:bCs/>
                <w:szCs w:val="21"/>
              </w:rPr>
              <w:t>-23</w:t>
            </w:r>
          </w:p>
        </w:tc>
        <w:tc>
          <w:tcPr>
            <w:tcW w:w="2839" w:type="dxa"/>
            <w:tcBorders>
              <w:tl2br w:val="nil"/>
              <w:tr2bl w:val="nil"/>
            </w:tcBorders>
          </w:tcPr>
          <w:p w14:paraId="0F73140B">
            <w:pPr>
              <w:keepNext w:val="0"/>
              <w:keepLines w:val="0"/>
              <w:widowControl/>
              <w:suppressLineNumbers w:val="0"/>
              <w:spacing w:before="0" w:beforeAutospacing="0" w:after="0" w:afterAutospacing="0"/>
              <w:ind w:left="0" w:right="0"/>
              <w:jc w:val="center"/>
              <w:textAlignment w:val="top"/>
              <w:rPr>
                <w:bCs/>
                <w:szCs w:val="21"/>
              </w:rPr>
            </w:pPr>
            <w:r>
              <w:rPr>
                <w:bCs/>
                <w:szCs w:val="21"/>
              </w:rPr>
              <w:t>0.34</w:t>
            </w:r>
          </w:p>
        </w:tc>
        <w:tc>
          <w:tcPr>
            <w:tcW w:w="2841" w:type="dxa"/>
            <w:tcBorders>
              <w:tl2br w:val="nil"/>
              <w:tr2bl w:val="nil"/>
            </w:tcBorders>
          </w:tcPr>
          <w:p w14:paraId="42F6A12A">
            <w:pPr>
              <w:keepNext w:val="0"/>
              <w:keepLines w:val="0"/>
              <w:widowControl/>
              <w:suppressLineNumbers w:val="0"/>
              <w:spacing w:before="0" w:beforeAutospacing="0" w:after="0" w:afterAutospacing="0"/>
              <w:ind w:left="0" w:right="0"/>
              <w:jc w:val="center"/>
              <w:textAlignment w:val="top"/>
              <w:rPr>
                <w:bCs/>
                <w:szCs w:val="21"/>
              </w:rPr>
            </w:pPr>
            <w:r>
              <w:rPr>
                <w:bCs/>
                <w:szCs w:val="21"/>
              </w:rPr>
              <w:t>9.59</w:t>
            </w:r>
          </w:p>
        </w:tc>
      </w:tr>
      <w:tr w14:paraId="6ED0F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8956482">
            <w:pPr>
              <w:keepNext w:val="0"/>
              <w:keepLines w:val="0"/>
              <w:widowControl/>
              <w:suppressLineNumbers w:val="0"/>
              <w:spacing w:before="0" w:beforeAutospacing="0" w:after="0" w:afterAutospacing="0"/>
              <w:ind w:left="0" w:right="0"/>
              <w:jc w:val="center"/>
              <w:textAlignment w:val="top"/>
              <w:rPr>
                <w:bCs/>
                <w:szCs w:val="21"/>
              </w:rPr>
            </w:pPr>
            <w:r>
              <w:rPr>
                <w:bCs/>
                <w:szCs w:val="21"/>
              </w:rPr>
              <w:t>-22</w:t>
            </w:r>
          </w:p>
        </w:tc>
        <w:tc>
          <w:tcPr>
            <w:tcW w:w="2839" w:type="dxa"/>
            <w:tcBorders>
              <w:tl2br w:val="nil"/>
              <w:tr2bl w:val="nil"/>
            </w:tcBorders>
          </w:tcPr>
          <w:p w14:paraId="6654A3E6">
            <w:pPr>
              <w:keepNext w:val="0"/>
              <w:keepLines w:val="0"/>
              <w:widowControl/>
              <w:suppressLineNumbers w:val="0"/>
              <w:spacing w:before="0" w:beforeAutospacing="0" w:after="0" w:afterAutospacing="0"/>
              <w:ind w:left="0" w:right="0"/>
              <w:jc w:val="center"/>
              <w:textAlignment w:val="top"/>
              <w:rPr>
                <w:bCs/>
                <w:szCs w:val="21"/>
              </w:rPr>
            </w:pPr>
            <w:r>
              <w:rPr>
                <w:bCs/>
                <w:szCs w:val="21"/>
              </w:rPr>
              <w:t>0.361</w:t>
            </w:r>
          </w:p>
        </w:tc>
        <w:tc>
          <w:tcPr>
            <w:tcW w:w="2841" w:type="dxa"/>
            <w:tcBorders>
              <w:tl2br w:val="nil"/>
              <w:tr2bl w:val="nil"/>
            </w:tcBorders>
          </w:tcPr>
          <w:p w14:paraId="57FC8B59">
            <w:pPr>
              <w:keepNext w:val="0"/>
              <w:keepLines w:val="0"/>
              <w:widowControl/>
              <w:suppressLineNumbers w:val="0"/>
              <w:spacing w:before="0" w:beforeAutospacing="0" w:after="0" w:afterAutospacing="0"/>
              <w:ind w:left="0" w:right="0"/>
              <w:jc w:val="center"/>
              <w:textAlignment w:val="top"/>
              <w:rPr>
                <w:bCs/>
                <w:szCs w:val="21"/>
              </w:rPr>
            </w:pPr>
            <w:r>
              <w:rPr>
                <w:bCs/>
                <w:szCs w:val="21"/>
              </w:rPr>
              <w:t>10.35</w:t>
            </w:r>
          </w:p>
        </w:tc>
      </w:tr>
      <w:tr w14:paraId="52ABD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C2150D4">
            <w:pPr>
              <w:keepNext w:val="0"/>
              <w:keepLines w:val="0"/>
              <w:widowControl/>
              <w:suppressLineNumbers w:val="0"/>
              <w:spacing w:before="0" w:beforeAutospacing="0" w:after="0" w:afterAutospacing="0"/>
              <w:ind w:left="0" w:right="0"/>
              <w:jc w:val="center"/>
              <w:textAlignment w:val="top"/>
              <w:rPr>
                <w:bCs/>
                <w:szCs w:val="21"/>
              </w:rPr>
            </w:pPr>
            <w:r>
              <w:rPr>
                <w:bCs/>
                <w:szCs w:val="21"/>
              </w:rPr>
              <w:t>-21</w:t>
            </w:r>
          </w:p>
        </w:tc>
        <w:tc>
          <w:tcPr>
            <w:tcW w:w="2839" w:type="dxa"/>
            <w:tcBorders>
              <w:tl2br w:val="nil"/>
              <w:tr2bl w:val="nil"/>
            </w:tcBorders>
          </w:tcPr>
          <w:p w14:paraId="148525C3">
            <w:pPr>
              <w:keepNext w:val="0"/>
              <w:keepLines w:val="0"/>
              <w:widowControl/>
              <w:suppressLineNumbers w:val="0"/>
              <w:spacing w:before="0" w:beforeAutospacing="0" w:after="0" w:afterAutospacing="0"/>
              <w:ind w:left="0" w:right="0"/>
              <w:jc w:val="center"/>
              <w:textAlignment w:val="top"/>
              <w:rPr>
                <w:bCs/>
                <w:szCs w:val="21"/>
              </w:rPr>
            </w:pPr>
            <w:r>
              <w:rPr>
                <w:bCs/>
                <w:szCs w:val="21"/>
              </w:rPr>
              <w:t>0.398</w:t>
            </w:r>
          </w:p>
        </w:tc>
        <w:tc>
          <w:tcPr>
            <w:tcW w:w="2841" w:type="dxa"/>
            <w:tcBorders>
              <w:tl2br w:val="nil"/>
              <w:tr2bl w:val="nil"/>
            </w:tcBorders>
          </w:tcPr>
          <w:p w14:paraId="7487D711">
            <w:pPr>
              <w:keepNext w:val="0"/>
              <w:keepLines w:val="0"/>
              <w:widowControl/>
              <w:suppressLineNumbers w:val="0"/>
              <w:spacing w:before="0" w:beforeAutospacing="0" w:after="0" w:afterAutospacing="0"/>
              <w:ind w:left="0" w:right="0"/>
              <w:jc w:val="center"/>
              <w:textAlignment w:val="top"/>
              <w:rPr>
                <w:bCs/>
                <w:szCs w:val="21"/>
              </w:rPr>
            </w:pPr>
            <w:r>
              <w:rPr>
                <w:bCs/>
                <w:szCs w:val="21"/>
              </w:rPr>
              <w:t>11.2</w:t>
            </w:r>
          </w:p>
        </w:tc>
      </w:tr>
      <w:tr w14:paraId="68839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DD37F91">
            <w:pPr>
              <w:keepNext w:val="0"/>
              <w:keepLines w:val="0"/>
              <w:widowControl/>
              <w:suppressLineNumbers w:val="0"/>
              <w:spacing w:before="0" w:beforeAutospacing="0" w:after="0" w:afterAutospacing="0"/>
              <w:ind w:left="0" w:right="0"/>
              <w:jc w:val="center"/>
              <w:textAlignment w:val="top"/>
              <w:rPr>
                <w:bCs/>
                <w:szCs w:val="21"/>
              </w:rPr>
            </w:pPr>
            <w:r>
              <w:rPr>
                <w:bCs/>
                <w:szCs w:val="21"/>
              </w:rPr>
              <w:t>-20</w:t>
            </w:r>
          </w:p>
        </w:tc>
        <w:tc>
          <w:tcPr>
            <w:tcW w:w="2839" w:type="dxa"/>
            <w:tcBorders>
              <w:tl2br w:val="nil"/>
              <w:tr2bl w:val="nil"/>
            </w:tcBorders>
          </w:tcPr>
          <w:p w14:paraId="5EA85F05">
            <w:pPr>
              <w:keepNext w:val="0"/>
              <w:keepLines w:val="0"/>
              <w:widowControl/>
              <w:suppressLineNumbers w:val="0"/>
              <w:spacing w:before="0" w:beforeAutospacing="0" w:after="0" w:afterAutospacing="0"/>
              <w:ind w:left="0" w:right="0"/>
              <w:jc w:val="center"/>
              <w:textAlignment w:val="top"/>
              <w:rPr>
                <w:bCs/>
                <w:szCs w:val="21"/>
              </w:rPr>
            </w:pPr>
            <w:r>
              <w:rPr>
                <w:bCs/>
                <w:szCs w:val="21"/>
              </w:rPr>
              <w:t>0.457</w:t>
            </w:r>
          </w:p>
        </w:tc>
        <w:tc>
          <w:tcPr>
            <w:tcW w:w="2841" w:type="dxa"/>
            <w:tcBorders>
              <w:tl2br w:val="nil"/>
              <w:tr2bl w:val="nil"/>
            </w:tcBorders>
          </w:tcPr>
          <w:p w14:paraId="35624979">
            <w:pPr>
              <w:keepNext w:val="0"/>
              <w:keepLines w:val="0"/>
              <w:widowControl/>
              <w:suppressLineNumbers w:val="0"/>
              <w:spacing w:before="0" w:beforeAutospacing="0" w:after="0" w:afterAutospacing="0"/>
              <w:ind w:left="0" w:right="0"/>
              <w:jc w:val="center"/>
              <w:textAlignment w:val="top"/>
              <w:rPr>
                <w:bCs/>
                <w:szCs w:val="21"/>
              </w:rPr>
            </w:pPr>
            <w:r>
              <w:rPr>
                <w:bCs/>
                <w:szCs w:val="21"/>
              </w:rPr>
              <w:t>12.15</w:t>
            </w:r>
          </w:p>
        </w:tc>
      </w:tr>
      <w:tr w14:paraId="40FD2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A0B7E55">
            <w:pPr>
              <w:keepNext w:val="0"/>
              <w:keepLines w:val="0"/>
              <w:widowControl/>
              <w:suppressLineNumbers w:val="0"/>
              <w:spacing w:before="0" w:beforeAutospacing="0" w:after="0" w:afterAutospacing="0"/>
              <w:ind w:left="0" w:right="0"/>
              <w:jc w:val="center"/>
              <w:textAlignment w:val="top"/>
              <w:rPr>
                <w:bCs/>
                <w:szCs w:val="21"/>
              </w:rPr>
            </w:pPr>
            <w:r>
              <w:rPr>
                <w:bCs/>
                <w:szCs w:val="21"/>
              </w:rPr>
              <w:t>-19</w:t>
            </w:r>
          </w:p>
        </w:tc>
        <w:tc>
          <w:tcPr>
            <w:tcW w:w="2839" w:type="dxa"/>
            <w:tcBorders>
              <w:tl2br w:val="nil"/>
              <w:tr2bl w:val="nil"/>
            </w:tcBorders>
          </w:tcPr>
          <w:p w14:paraId="538DCF89">
            <w:pPr>
              <w:keepNext w:val="0"/>
              <w:keepLines w:val="0"/>
              <w:widowControl/>
              <w:suppressLineNumbers w:val="0"/>
              <w:spacing w:before="0" w:beforeAutospacing="0" w:after="0" w:afterAutospacing="0"/>
              <w:ind w:left="0" w:right="0"/>
              <w:jc w:val="center"/>
              <w:textAlignment w:val="top"/>
              <w:rPr>
                <w:bCs/>
                <w:szCs w:val="21"/>
              </w:rPr>
            </w:pPr>
            <w:r>
              <w:rPr>
                <w:bCs/>
                <w:szCs w:val="21"/>
              </w:rPr>
              <w:t>0.548</w:t>
            </w:r>
          </w:p>
        </w:tc>
        <w:tc>
          <w:tcPr>
            <w:tcW w:w="2841" w:type="dxa"/>
            <w:tcBorders>
              <w:tl2br w:val="nil"/>
              <w:tr2bl w:val="nil"/>
            </w:tcBorders>
          </w:tcPr>
          <w:p w14:paraId="325A7D7A">
            <w:pPr>
              <w:keepNext w:val="0"/>
              <w:keepLines w:val="0"/>
              <w:widowControl/>
              <w:suppressLineNumbers w:val="0"/>
              <w:spacing w:before="0" w:beforeAutospacing="0" w:after="0" w:afterAutospacing="0"/>
              <w:ind w:left="0" w:right="0"/>
              <w:jc w:val="center"/>
              <w:textAlignment w:val="top"/>
              <w:rPr>
                <w:bCs/>
                <w:szCs w:val="21"/>
              </w:rPr>
            </w:pPr>
            <w:r>
              <w:rPr>
                <w:bCs/>
                <w:szCs w:val="21"/>
              </w:rPr>
              <w:t>13.22</w:t>
            </w:r>
          </w:p>
        </w:tc>
      </w:tr>
      <w:tr w14:paraId="0DBD4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97A59B7">
            <w:pPr>
              <w:keepNext w:val="0"/>
              <w:keepLines w:val="0"/>
              <w:widowControl/>
              <w:suppressLineNumbers w:val="0"/>
              <w:spacing w:before="0" w:beforeAutospacing="0" w:after="0" w:afterAutospacing="0"/>
              <w:ind w:left="0" w:right="0"/>
              <w:jc w:val="center"/>
              <w:textAlignment w:val="top"/>
              <w:rPr>
                <w:bCs/>
                <w:szCs w:val="21"/>
              </w:rPr>
            </w:pPr>
            <w:r>
              <w:rPr>
                <w:bCs/>
                <w:szCs w:val="21"/>
              </w:rPr>
              <w:t>-18</w:t>
            </w:r>
          </w:p>
        </w:tc>
        <w:tc>
          <w:tcPr>
            <w:tcW w:w="2839" w:type="dxa"/>
            <w:tcBorders>
              <w:tl2br w:val="nil"/>
              <w:tr2bl w:val="nil"/>
            </w:tcBorders>
          </w:tcPr>
          <w:p w14:paraId="29F756D0">
            <w:pPr>
              <w:keepNext w:val="0"/>
              <w:keepLines w:val="0"/>
              <w:widowControl/>
              <w:suppressLineNumbers w:val="0"/>
              <w:spacing w:before="0" w:beforeAutospacing="0" w:after="0" w:afterAutospacing="0"/>
              <w:ind w:left="0" w:right="0"/>
              <w:jc w:val="center"/>
              <w:textAlignment w:val="top"/>
              <w:rPr>
                <w:bCs/>
                <w:szCs w:val="21"/>
              </w:rPr>
            </w:pPr>
            <w:r>
              <w:rPr>
                <w:bCs/>
                <w:szCs w:val="21"/>
              </w:rPr>
              <w:t>0.68</w:t>
            </w:r>
          </w:p>
        </w:tc>
        <w:tc>
          <w:tcPr>
            <w:tcW w:w="2841" w:type="dxa"/>
            <w:tcBorders>
              <w:tl2br w:val="nil"/>
              <w:tr2bl w:val="nil"/>
            </w:tcBorders>
          </w:tcPr>
          <w:p w14:paraId="5FC9FFA0">
            <w:pPr>
              <w:keepNext w:val="0"/>
              <w:keepLines w:val="0"/>
              <w:widowControl/>
              <w:suppressLineNumbers w:val="0"/>
              <w:spacing w:before="0" w:beforeAutospacing="0" w:after="0" w:afterAutospacing="0"/>
              <w:ind w:left="0" w:right="0"/>
              <w:jc w:val="center"/>
              <w:textAlignment w:val="top"/>
              <w:rPr>
                <w:bCs/>
                <w:szCs w:val="21"/>
              </w:rPr>
            </w:pPr>
            <w:r>
              <w:rPr>
                <w:bCs/>
                <w:szCs w:val="21"/>
              </w:rPr>
              <w:t>14.41</w:t>
            </w:r>
          </w:p>
        </w:tc>
      </w:tr>
      <w:tr w14:paraId="58632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3243C40">
            <w:pPr>
              <w:keepNext w:val="0"/>
              <w:keepLines w:val="0"/>
              <w:widowControl/>
              <w:suppressLineNumbers w:val="0"/>
              <w:spacing w:before="0" w:beforeAutospacing="0" w:after="0" w:afterAutospacing="0"/>
              <w:ind w:left="0" w:right="0"/>
              <w:jc w:val="center"/>
              <w:textAlignment w:val="top"/>
              <w:rPr>
                <w:bCs/>
                <w:szCs w:val="21"/>
              </w:rPr>
            </w:pPr>
            <w:r>
              <w:rPr>
                <w:bCs/>
                <w:szCs w:val="21"/>
              </w:rPr>
              <w:t>-17</w:t>
            </w:r>
          </w:p>
        </w:tc>
        <w:tc>
          <w:tcPr>
            <w:tcW w:w="2839" w:type="dxa"/>
            <w:tcBorders>
              <w:tl2br w:val="nil"/>
              <w:tr2bl w:val="nil"/>
            </w:tcBorders>
          </w:tcPr>
          <w:p w14:paraId="0D8754FD">
            <w:pPr>
              <w:keepNext w:val="0"/>
              <w:keepLines w:val="0"/>
              <w:widowControl/>
              <w:suppressLineNumbers w:val="0"/>
              <w:spacing w:before="0" w:beforeAutospacing="0" w:after="0" w:afterAutospacing="0"/>
              <w:ind w:left="0" w:right="0"/>
              <w:jc w:val="center"/>
              <w:textAlignment w:val="top"/>
              <w:rPr>
                <w:bCs/>
                <w:szCs w:val="21"/>
              </w:rPr>
            </w:pPr>
            <w:r>
              <w:rPr>
                <w:bCs/>
                <w:szCs w:val="21"/>
              </w:rPr>
              <w:t>0.865</w:t>
            </w:r>
          </w:p>
        </w:tc>
        <w:tc>
          <w:tcPr>
            <w:tcW w:w="2841" w:type="dxa"/>
            <w:tcBorders>
              <w:tl2br w:val="nil"/>
              <w:tr2bl w:val="nil"/>
            </w:tcBorders>
          </w:tcPr>
          <w:p w14:paraId="2FB78CBC">
            <w:pPr>
              <w:keepNext w:val="0"/>
              <w:keepLines w:val="0"/>
              <w:widowControl/>
              <w:suppressLineNumbers w:val="0"/>
              <w:spacing w:before="0" w:beforeAutospacing="0" w:after="0" w:afterAutospacing="0"/>
              <w:ind w:left="0" w:right="0"/>
              <w:jc w:val="center"/>
              <w:textAlignment w:val="top"/>
              <w:rPr>
                <w:bCs/>
                <w:szCs w:val="21"/>
              </w:rPr>
            </w:pPr>
            <w:r>
              <w:rPr>
                <w:bCs/>
                <w:szCs w:val="21"/>
              </w:rPr>
              <w:t>15.76</w:t>
            </w:r>
          </w:p>
        </w:tc>
      </w:tr>
      <w:tr w14:paraId="5CC2F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550521B">
            <w:pPr>
              <w:keepNext w:val="0"/>
              <w:keepLines w:val="0"/>
              <w:widowControl/>
              <w:suppressLineNumbers w:val="0"/>
              <w:spacing w:before="0" w:beforeAutospacing="0" w:after="0" w:afterAutospacing="0"/>
              <w:ind w:left="0" w:right="0"/>
              <w:jc w:val="center"/>
              <w:textAlignment w:val="top"/>
              <w:rPr>
                <w:bCs/>
                <w:szCs w:val="21"/>
              </w:rPr>
            </w:pPr>
            <w:r>
              <w:rPr>
                <w:bCs/>
                <w:szCs w:val="21"/>
              </w:rPr>
              <w:t>-16</w:t>
            </w:r>
          </w:p>
        </w:tc>
        <w:tc>
          <w:tcPr>
            <w:tcW w:w="2839" w:type="dxa"/>
            <w:tcBorders>
              <w:tl2br w:val="nil"/>
              <w:tr2bl w:val="nil"/>
            </w:tcBorders>
          </w:tcPr>
          <w:p w14:paraId="4B765416">
            <w:pPr>
              <w:keepNext w:val="0"/>
              <w:keepLines w:val="0"/>
              <w:widowControl/>
              <w:suppressLineNumbers w:val="0"/>
              <w:spacing w:before="0" w:beforeAutospacing="0" w:after="0" w:afterAutospacing="0"/>
              <w:ind w:left="0" w:right="0"/>
              <w:jc w:val="center"/>
              <w:textAlignment w:val="top"/>
              <w:rPr>
                <w:bCs/>
                <w:szCs w:val="21"/>
              </w:rPr>
            </w:pPr>
            <w:r>
              <w:rPr>
                <w:bCs/>
                <w:szCs w:val="21"/>
              </w:rPr>
              <w:t>1.116</w:t>
            </w:r>
          </w:p>
        </w:tc>
        <w:tc>
          <w:tcPr>
            <w:tcW w:w="2841" w:type="dxa"/>
            <w:tcBorders>
              <w:tl2br w:val="nil"/>
              <w:tr2bl w:val="nil"/>
            </w:tcBorders>
          </w:tcPr>
          <w:p w14:paraId="78459EB5">
            <w:pPr>
              <w:keepNext w:val="0"/>
              <w:keepLines w:val="0"/>
              <w:widowControl/>
              <w:suppressLineNumbers w:val="0"/>
              <w:spacing w:before="0" w:beforeAutospacing="0" w:after="0" w:afterAutospacing="0"/>
              <w:ind w:left="0" w:right="0"/>
              <w:jc w:val="center"/>
              <w:textAlignment w:val="top"/>
              <w:rPr>
                <w:bCs/>
                <w:szCs w:val="21"/>
              </w:rPr>
            </w:pPr>
            <w:r>
              <w:rPr>
                <w:bCs/>
                <w:szCs w:val="21"/>
              </w:rPr>
              <w:t>17.28</w:t>
            </w:r>
          </w:p>
        </w:tc>
      </w:tr>
      <w:tr w14:paraId="5CEC9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F5FD578">
            <w:pPr>
              <w:keepNext w:val="0"/>
              <w:keepLines w:val="0"/>
              <w:widowControl/>
              <w:suppressLineNumbers w:val="0"/>
              <w:spacing w:before="0" w:beforeAutospacing="0" w:after="0" w:afterAutospacing="0"/>
              <w:ind w:left="0" w:right="0"/>
              <w:jc w:val="center"/>
              <w:textAlignment w:val="top"/>
              <w:rPr>
                <w:bCs/>
                <w:szCs w:val="21"/>
              </w:rPr>
            </w:pPr>
            <w:r>
              <w:rPr>
                <w:bCs/>
                <w:szCs w:val="21"/>
              </w:rPr>
              <w:t>-15</w:t>
            </w:r>
          </w:p>
        </w:tc>
        <w:tc>
          <w:tcPr>
            <w:tcW w:w="2839" w:type="dxa"/>
            <w:tcBorders>
              <w:tl2br w:val="nil"/>
              <w:tr2bl w:val="nil"/>
            </w:tcBorders>
          </w:tcPr>
          <w:p w14:paraId="5F066CEF">
            <w:pPr>
              <w:keepNext w:val="0"/>
              <w:keepLines w:val="0"/>
              <w:widowControl/>
              <w:suppressLineNumbers w:val="0"/>
              <w:spacing w:before="0" w:beforeAutospacing="0" w:after="0" w:afterAutospacing="0"/>
              <w:ind w:left="0" w:right="0"/>
              <w:jc w:val="center"/>
              <w:textAlignment w:val="top"/>
              <w:rPr>
                <w:bCs/>
                <w:szCs w:val="21"/>
              </w:rPr>
            </w:pPr>
            <w:r>
              <w:rPr>
                <w:bCs/>
                <w:szCs w:val="21"/>
              </w:rPr>
              <w:t>1.45</w:t>
            </w:r>
          </w:p>
        </w:tc>
        <w:tc>
          <w:tcPr>
            <w:tcW w:w="2841" w:type="dxa"/>
            <w:tcBorders>
              <w:tl2br w:val="nil"/>
              <w:tr2bl w:val="nil"/>
            </w:tcBorders>
          </w:tcPr>
          <w:p w14:paraId="7A2CAC7B">
            <w:pPr>
              <w:keepNext w:val="0"/>
              <w:keepLines w:val="0"/>
              <w:widowControl/>
              <w:suppressLineNumbers w:val="0"/>
              <w:spacing w:before="0" w:beforeAutospacing="0" w:after="0" w:afterAutospacing="0"/>
              <w:ind w:left="0" w:right="0"/>
              <w:jc w:val="center"/>
              <w:textAlignment w:val="top"/>
              <w:rPr>
                <w:bCs/>
                <w:szCs w:val="21"/>
              </w:rPr>
            </w:pPr>
            <w:r>
              <w:rPr>
                <w:bCs/>
                <w:szCs w:val="21"/>
              </w:rPr>
              <w:t>18.99</w:t>
            </w:r>
          </w:p>
        </w:tc>
      </w:tr>
      <w:tr w14:paraId="45CE4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E62CFC0">
            <w:pPr>
              <w:keepNext w:val="0"/>
              <w:keepLines w:val="0"/>
              <w:widowControl/>
              <w:suppressLineNumbers w:val="0"/>
              <w:spacing w:before="0" w:beforeAutospacing="0" w:after="0" w:afterAutospacing="0"/>
              <w:ind w:left="0" w:right="0"/>
              <w:jc w:val="center"/>
              <w:textAlignment w:val="top"/>
              <w:rPr>
                <w:bCs/>
                <w:szCs w:val="21"/>
              </w:rPr>
            </w:pPr>
            <w:r>
              <w:rPr>
                <w:bCs/>
                <w:szCs w:val="21"/>
              </w:rPr>
              <w:t>-14</w:t>
            </w:r>
          </w:p>
        </w:tc>
        <w:tc>
          <w:tcPr>
            <w:tcW w:w="2839" w:type="dxa"/>
            <w:tcBorders>
              <w:tl2br w:val="nil"/>
              <w:tr2bl w:val="nil"/>
            </w:tcBorders>
          </w:tcPr>
          <w:p w14:paraId="36628FB3">
            <w:pPr>
              <w:keepNext w:val="0"/>
              <w:keepLines w:val="0"/>
              <w:widowControl/>
              <w:suppressLineNumbers w:val="0"/>
              <w:spacing w:before="0" w:beforeAutospacing="0" w:after="0" w:afterAutospacing="0"/>
              <w:ind w:left="0" w:right="0"/>
              <w:jc w:val="center"/>
              <w:textAlignment w:val="top"/>
              <w:rPr>
                <w:bCs/>
                <w:szCs w:val="21"/>
              </w:rPr>
            </w:pPr>
            <w:r>
              <w:rPr>
                <w:bCs/>
                <w:szCs w:val="21"/>
              </w:rPr>
              <w:t>1.886</w:t>
            </w:r>
          </w:p>
        </w:tc>
        <w:tc>
          <w:tcPr>
            <w:tcW w:w="2841" w:type="dxa"/>
            <w:tcBorders>
              <w:tl2br w:val="nil"/>
              <w:tr2bl w:val="nil"/>
            </w:tcBorders>
          </w:tcPr>
          <w:p w14:paraId="4585E855">
            <w:pPr>
              <w:keepNext w:val="0"/>
              <w:keepLines w:val="0"/>
              <w:widowControl/>
              <w:suppressLineNumbers w:val="0"/>
              <w:spacing w:before="0" w:beforeAutospacing="0" w:after="0" w:afterAutospacing="0"/>
              <w:ind w:left="0" w:right="0"/>
              <w:jc w:val="center"/>
              <w:textAlignment w:val="top"/>
              <w:rPr>
                <w:bCs/>
                <w:szCs w:val="21"/>
              </w:rPr>
            </w:pPr>
            <w:r>
              <w:rPr>
                <w:bCs/>
                <w:szCs w:val="21"/>
              </w:rPr>
              <w:t>20.89</w:t>
            </w:r>
          </w:p>
        </w:tc>
      </w:tr>
      <w:tr w14:paraId="0A5B0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B66A439">
            <w:pPr>
              <w:keepNext w:val="0"/>
              <w:keepLines w:val="0"/>
              <w:widowControl/>
              <w:suppressLineNumbers w:val="0"/>
              <w:spacing w:before="0" w:beforeAutospacing="0" w:after="0" w:afterAutospacing="0"/>
              <w:ind w:left="0" w:right="0"/>
              <w:jc w:val="center"/>
              <w:textAlignment w:val="top"/>
              <w:rPr>
                <w:bCs/>
                <w:szCs w:val="21"/>
              </w:rPr>
            </w:pPr>
            <w:r>
              <w:rPr>
                <w:bCs/>
                <w:szCs w:val="21"/>
              </w:rPr>
              <w:t>-13</w:t>
            </w:r>
          </w:p>
        </w:tc>
        <w:tc>
          <w:tcPr>
            <w:tcW w:w="2839" w:type="dxa"/>
            <w:tcBorders>
              <w:tl2br w:val="nil"/>
              <w:tr2bl w:val="nil"/>
            </w:tcBorders>
          </w:tcPr>
          <w:p w14:paraId="527C6D89">
            <w:pPr>
              <w:keepNext w:val="0"/>
              <w:keepLines w:val="0"/>
              <w:widowControl/>
              <w:suppressLineNumbers w:val="0"/>
              <w:spacing w:before="0" w:beforeAutospacing="0" w:after="0" w:afterAutospacing="0"/>
              <w:ind w:left="0" w:right="0"/>
              <w:jc w:val="center"/>
              <w:textAlignment w:val="top"/>
              <w:rPr>
                <w:bCs/>
                <w:szCs w:val="21"/>
              </w:rPr>
            </w:pPr>
            <w:r>
              <w:rPr>
                <w:bCs/>
                <w:szCs w:val="21"/>
              </w:rPr>
              <w:t>2.445</w:t>
            </w:r>
          </w:p>
        </w:tc>
        <w:tc>
          <w:tcPr>
            <w:tcW w:w="2841" w:type="dxa"/>
            <w:tcBorders>
              <w:tl2br w:val="nil"/>
              <w:tr2bl w:val="nil"/>
            </w:tcBorders>
          </w:tcPr>
          <w:p w14:paraId="1217F42F">
            <w:pPr>
              <w:keepNext w:val="0"/>
              <w:keepLines w:val="0"/>
              <w:widowControl/>
              <w:suppressLineNumbers w:val="0"/>
              <w:spacing w:before="0" w:beforeAutospacing="0" w:after="0" w:afterAutospacing="0"/>
              <w:ind w:left="0" w:right="0"/>
              <w:jc w:val="center"/>
              <w:textAlignment w:val="top"/>
              <w:rPr>
                <w:bCs/>
                <w:szCs w:val="21"/>
              </w:rPr>
            </w:pPr>
            <w:r>
              <w:rPr>
                <w:bCs/>
                <w:szCs w:val="21"/>
              </w:rPr>
              <w:t>23</w:t>
            </w:r>
          </w:p>
        </w:tc>
      </w:tr>
      <w:tr w14:paraId="0EC88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BD5ED37">
            <w:pPr>
              <w:keepNext w:val="0"/>
              <w:keepLines w:val="0"/>
              <w:widowControl/>
              <w:suppressLineNumbers w:val="0"/>
              <w:spacing w:before="0" w:beforeAutospacing="0" w:after="0" w:afterAutospacing="0"/>
              <w:ind w:left="0" w:right="0"/>
              <w:jc w:val="center"/>
              <w:textAlignment w:val="top"/>
              <w:rPr>
                <w:bCs/>
                <w:szCs w:val="21"/>
              </w:rPr>
            </w:pPr>
            <w:r>
              <w:rPr>
                <w:bCs/>
                <w:szCs w:val="21"/>
              </w:rPr>
              <w:t>-12</w:t>
            </w:r>
          </w:p>
        </w:tc>
        <w:tc>
          <w:tcPr>
            <w:tcW w:w="2839" w:type="dxa"/>
            <w:tcBorders>
              <w:tl2br w:val="nil"/>
              <w:tr2bl w:val="nil"/>
            </w:tcBorders>
          </w:tcPr>
          <w:p w14:paraId="66F0BF24">
            <w:pPr>
              <w:keepNext w:val="0"/>
              <w:keepLines w:val="0"/>
              <w:widowControl/>
              <w:suppressLineNumbers w:val="0"/>
              <w:spacing w:before="0" w:beforeAutospacing="0" w:after="0" w:afterAutospacing="0"/>
              <w:ind w:left="0" w:right="0"/>
              <w:jc w:val="center"/>
              <w:textAlignment w:val="top"/>
              <w:rPr>
                <w:bCs/>
                <w:szCs w:val="21"/>
              </w:rPr>
            </w:pPr>
            <w:r>
              <w:rPr>
                <w:bCs/>
                <w:szCs w:val="21"/>
              </w:rPr>
              <w:t>3.141</w:t>
            </w:r>
          </w:p>
        </w:tc>
        <w:tc>
          <w:tcPr>
            <w:tcW w:w="2841" w:type="dxa"/>
            <w:tcBorders>
              <w:tl2br w:val="nil"/>
              <w:tr2bl w:val="nil"/>
            </w:tcBorders>
          </w:tcPr>
          <w:p w14:paraId="6C024C40">
            <w:pPr>
              <w:keepNext w:val="0"/>
              <w:keepLines w:val="0"/>
              <w:widowControl/>
              <w:suppressLineNumbers w:val="0"/>
              <w:spacing w:before="0" w:beforeAutospacing="0" w:after="0" w:afterAutospacing="0"/>
              <w:ind w:left="0" w:right="0"/>
              <w:jc w:val="center"/>
              <w:textAlignment w:val="top"/>
              <w:rPr>
                <w:bCs/>
                <w:szCs w:val="21"/>
              </w:rPr>
            </w:pPr>
            <w:r>
              <w:rPr>
                <w:bCs/>
                <w:szCs w:val="21"/>
              </w:rPr>
              <w:t>25.28</w:t>
            </w:r>
          </w:p>
        </w:tc>
      </w:tr>
      <w:tr w14:paraId="04D25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6A14FBE">
            <w:pPr>
              <w:keepNext w:val="0"/>
              <w:keepLines w:val="0"/>
              <w:widowControl/>
              <w:suppressLineNumbers w:val="0"/>
              <w:spacing w:before="0" w:beforeAutospacing="0" w:after="0" w:afterAutospacing="0"/>
              <w:ind w:left="0" w:right="0"/>
              <w:jc w:val="center"/>
              <w:textAlignment w:val="top"/>
              <w:rPr>
                <w:bCs/>
                <w:szCs w:val="21"/>
              </w:rPr>
            </w:pPr>
            <w:r>
              <w:rPr>
                <w:bCs/>
                <w:szCs w:val="21"/>
              </w:rPr>
              <w:t>-11</w:t>
            </w:r>
          </w:p>
        </w:tc>
        <w:tc>
          <w:tcPr>
            <w:tcW w:w="2839" w:type="dxa"/>
            <w:tcBorders>
              <w:tl2br w:val="nil"/>
              <w:tr2bl w:val="nil"/>
            </w:tcBorders>
          </w:tcPr>
          <w:p w14:paraId="3322F01C">
            <w:pPr>
              <w:keepNext w:val="0"/>
              <w:keepLines w:val="0"/>
              <w:widowControl/>
              <w:suppressLineNumbers w:val="0"/>
              <w:spacing w:before="0" w:beforeAutospacing="0" w:after="0" w:afterAutospacing="0"/>
              <w:ind w:left="0" w:right="0"/>
              <w:jc w:val="center"/>
              <w:textAlignment w:val="top"/>
              <w:rPr>
                <w:bCs/>
                <w:szCs w:val="21"/>
              </w:rPr>
            </w:pPr>
            <w:r>
              <w:rPr>
                <w:bCs/>
                <w:szCs w:val="21"/>
              </w:rPr>
              <w:t>3.971</w:t>
            </w:r>
          </w:p>
        </w:tc>
        <w:tc>
          <w:tcPr>
            <w:tcW w:w="2841" w:type="dxa"/>
            <w:tcBorders>
              <w:tl2br w:val="nil"/>
              <w:tr2bl w:val="nil"/>
            </w:tcBorders>
          </w:tcPr>
          <w:p w14:paraId="6F2020CF">
            <w:pPr>
              <w:keepNext w:val="0"/>
              <w:keepLines w:val="0"/>
              <w:widowControl/>
              <w:suppressLineNumbers w:val="0"/>
              <w:spacing w:before="0" w:beforeAutospacing="0" w:after="0" w:afterAutospacing="0"/>
              <w:ind w:left="0" w:right="0"/>
              <w:jc w:val="center"/>
              <w:textAlignment w:val="top"/>
              <w:rPr>
                <w:bCs/>
                <w:szCs w:val="21"/>
              </w:rPr>
            </w:pPr>
            <w:r>
              <w:rPr>
                <w:bCs/>
                <w:szCs w:val="21"/>
              </w:rPr>
              <w:t>27.63</w:t>
            </w:r>
          </w:p>
        </w:tc>
      </w:tr>
      <w:tr w14:paraId="4997E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9378485">
            <w:pPr>
              <w:keepNext w:val="0"/>
              <w:keepLines w:val="0"/>
              <w:widowControl/>
              <w:suppressLineNumbers w:val="0"/>
              <w:spacing w:before="0" w:beforeAutospacing="0" w:after="0" w:afterAutospacing="0"/>
              <w:ind w:left="0" w:right="0"/>
              <w:jc w:val="center"/>
              <w:textAlignment w:val="top"/>
              <w:rPr>
                <w:bCs/>
                <w:szCs w:val="21"/>
              </w:rPr>
            </w:pPr>
            <w:r>
              <w:rPr>
                <w:bCs/>
                <w:szCs w:val="21"/>
              </w:rPr>
              <w:t>-10</w:t>
            </w:r>
          </w:p>
        </w:tc>
        <w:tc>
          <w:tcPr>
            <w:tcW w:w="2839" w:type="dxa"/>
            <w:tcBorders>
              <w:tl2br w:val="nil"/>
              <w:tr2bl w:val="nil"/>
            </w:tcBorders>
          </w:tcPr>
          <w:p w14:paraId="274B6C97">
            <w:pPr>
              <w:keepNext w:val="0"/>
              <w:keepLines w:val="0"/>
              <w:widowControl/>
              <w:suppressLineNumbers w:val="0"/>
              <w:spacing w:before="0" w:beforeAutospacing="0" w:after="0" w:afterAutospacing="0"/>
              <w:ind w:left="0" w:right="0"/>
              <w:jc w:val="center"/>
              <w:textAlignment w:val="top"/>
              <w:rPr>
                <w:bCs/>
                <w:szCs w:val="21"/>
              </w:rPr>
            </w:pPr>
            <w:r>
              <w:rPr>
                <w:bCs/>
                <w:szCs w:val="21"/>
              </w:rPr>
              <w:t>4.898</w:t>
            </w:r>
          </w:p>
        </w:tc>
        <w:tc>
          <w:tcPr>
            <w:tcW w:w="2841" w:type="dxa"/>
            <w:tcBorders>
              <w:tl2br w:val="nil"/>
              <w:tr2bl w:val="nil"/>
            </w:tcBorders>
          </w:tcPr>
          <w:p w14:paraId="66D10CB5">
            <w:pPr>
              <w:keepNext w:val="0"/>
              <w:keepLines w:val="0"/>
              <w:widowControl/>
              <w:suppressLineNumbers w:val="0"/>
              <w:spacing w:before="0" w:beforeAutospacing="0" w:after="0" w:afterAutospacing="0"/>
              <w:ind w:left="0" w:right="0"/>
              <w:jc w:val="center"/>
              <w:textAlignment w:val="top"/>
              <w:rPr>
                <w:bCs/>
                <w:szCs w:val="21"/>
              </w:rPr>
            </w:pPr>
            <w:r>
              <w:rPr>
                <w:bCs/>
                <w:szCs w:val="21"/>
              </w:rPr>
              <w:t>29.86</w:t>
            </w:r>
          </w:p>
        </w:tc>
      </w:tr>
      <w:tr w14:paraId="1FF14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355A21E">
            <w:pPr>
              <w:keepNext w:val="0"/>
              <w:keepLines w:val="0"/>
              <w:widowControl/>
              <w:suppressLineNumbers w:val="0"/>
              <w:spacing w:before="0" w:beforeAutospacing="0" w:after="0" w:afterAutospacing="0"/>
              <w:ind w:left="0" w:right="0"/>
              <w:jc w:val="center"/>
              <w:textAlignment w:val="top"/>
              <w:rPr>
                <w:bCs/>
                <w:szCs w:val="21"/>
              </w:rPr>
            </w:pPr>
            <w:r>
              <w:rPr>
                <w:bCs/>
                <w:szCs w:val="21"/>
              </w:rPr>
              <w:t>-9</w:t>
            </w:r>
          </w:p>
        </w:tc>
        <w:tc>
          <w:tcPr>
            <w:tcW w:w="2839" w:type="dxa"/>
            <w:tcBorders>
              <w:tl2br w:val="nil"/>
              <w:tr2bl w:val="nil"/>
            </w:tcBorders>
          </w:tcPr>
          <w:p w14:paraId="637A19C5">
            <w:pPr>
              <w:keepNext w:val="0"/>
              <w:keepLines w:val="0"/>
              <w:widowControl/>
              <w:suppressLineNumbers w:val="0"/>
              <w:spacing w:before="0" w:beforeAutospacing="0" w:after="0" w:afterAutospacing="0"/>
              <w:ind w:left="0" w:right="0"/>
              <w:jc w:val="center"/>
              <w:textAlignment w:val="top"/>
              <w:rPr>
                <w:bCs/>
                <w:szCs w:val="21"/>
              </w:rPr>
            </w:pPr>
            <w:r>
              <w:rPr>
                <w:bCs/>
                <w:szCs w:val="21"/>
              </w:rPr>
              <w:t>5.822</w:t>
            </w:r>
          </w:p>
        </w:tc>
        <w:tc>
          <w:tcPr>
            <w:tcW w:w="2841" w:type="dxa"/>
            <w:tcBorders>
              <w:tl2br w:val="nil"/>
              <w:tr2bl w:val="nil"/>
            </w:tcBorders>
          </w:tcPr>
          <w:p w14:paraId="6FC6FDCE">
            <w:pPr>
              <w:keepNext w:val="0"/>
              <w:keepLines w:val="0"/>
              <w:widowControl/>
              <w:suppressLineNumbers w:val="0"/>
              <w:spacing w:before="0" w:beforeAutospacing="0" w:after="0" w:afterAutospacing="0"/>
              <w:ind w:left="0" w:right="0"/>
              <w:jc w:val="center"/>
              <w:textAlignment w:val="top"/>
              <w:rPr>
                <w:bCs/>
                <w:szCs w:val="21"/>
              </w:rPr>
            </w:pPr>
            <w:r>
              <w:rPr>
                <w:bCs/>
                <w:szCs w:val="21"/>
              </w:rPr>
              <w:t>31.6</w:t>
            </w:r>
          </w:p>
        </w:tc>
      </w:tr>
      <w:tr w14:paraId="65479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70C2FB1">
            <w:pPr>
              <w:keepNext w:val="0"/>
              <w:keepLines w:val="0"/>
              <w:widowControl/>
              <w:suppressLineNumbers w:val="0"/>
              <w:spacing w:before="0" w:beforeAutospacing="0" w:after="0" w:afterAutospacing="0"/>
              <w:ind w:left="0" w:right="0"/>
              <w:jc w:val="center"/>
              <w:textAlignment w:val="top"/>
              <w:rPr>
                <w:bCs/>
                <w:szCs w:val="21"/>
              </w:rPr>
            </w:pPr>
            <w:r>
              <w:rPr>
                <w:bCs/>
                <w:szCs w:val="21"/>
              </w:rPr>
              <w:t>-8</w:t>
            </w:r>
          </w:p>
        </w:tc>
        <w:tc>
          <w:tcPr>
            <w:tcW w:w="2839" w:type="dxa"/>
            <w:tcBorders>
              <w:tl2br w:val="nil"/>
              <w:tr2bl w:val="nil"/>
            </w:tcBorders>
          </w:tcPr>
          <w:p w14:paraId="7DA8CF7A">
            <w:pPr>
              <w:keepNext w:val="0"/>
              <w:keepLines w:val="0"/>
              <w:widowControl/>
              <w:suppressLineNumbers w:val="0"/>
              <w:spacing w:before="0" w:beforeAutospacing="0" w:after="0" w:afterAutospacing="0"/>
              <w:ind w:left="0" w:right="0"/>
              <w:jc w:val="center"/>
              <w:textAlignment w:val="top"/>
              <w:rPr>
                <w:bCs/>
                <w:szCs w:val="21"/>
              </w:rPr>
            </w:pPr>
            <w:r>
              <w:rPr>
                <w:bCs/>
                <w:szCs w:val="21"/>
              </w:rPr>
              <w:t>6.583</w:t>
            </w:r>
          </w:p>
        </w:tc>
        <w:tc>
          <w:tcPr>
            <w:tcW w:w="2841" w:type="dxa"/>
            <w:tcBorders>
              <w:tl2br w:val="nil"/>
              <w:tr2bl w:val="nil"/>
            </w:tcBorders>
          </w:tcPr>
          <w:p w14:paraId="4AD48836">
            <w:pPr>
              <w:keepNext w:val="0"/>
              <w:keepLines w:val="0"/>
              <w:widowControl/>
              <w:suppressLineNumbers w:val="0"/>
              <w:spacing w:before="0" w:beforeAutospacing="0" w:after="0" w:afterAutospacing="0"/>
              <w:ind w:left="0" w:right="0"/>
              <w:jc w:val="center"/>
              <w:textAlignment w:val="top"/>
              <w:rPr>
                <w:bCs/>
                <w:szCs w:val="21"/>
              </w:rPr>
            </w:pPr>
            <w:r>
              <w:rPr>
                <w:bCs/>
                <w:szCs w:val="21"/>
              </w:rPr>
              <w:t>32.37</w:t>
            </w:r>
          </w:p>
        </w:tc>
      </w:tr>
      <w:tr w14:paraId="6E9C6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3E3238B">
            <w:pPr>
              <w:keepNext w:val="0"/>
              <w:keepLines w:val="0"/>
              <w:widowControl/>
              <w:suppressLineNumbers w:val="0"/>
              <w:spacing w:before="0" w:beforeAutospacing="0" w:after="0" w:afterAutospacing="0"/>
              <w:ind w:left="0" w:right="0"/>
              <w:jc w:val="center"/>
              <w:textAlignment w:val="top"/>
              <w:rPr>
                <w:bCs/>
                <w:szCs w:val="21"/>
              </w:rPr>
            </w:pPr>
            <w:r>
              <w:rPr>
                <w:bCs/>
                <w:szCs w:val="21"/>
              </w:rPr>
              <w:t>-7</w:t>
            </w:r>
          </w:p>
        </w:tc>
        <w:tc>
          <w:tcPr>
            <w:tcW w:w="2839" w:type="dxa"/>
            <w:tcBorders>
              <w:tl2br w:val="nil"/>
              <w:tr2bl w:val="nil"/>
            </w:tcBorders>
          </w:tcPr>
          <w:p w14:paraId="0AA315E0">
            <w:pPr>
              <w:keepNext w:val="0"/>
              <w:keepLines w:val="0"/>
              <w:widowControl/>
              <w:suppressLineNumbers w:val="0"/>
              <w:spacing w:before="0" w:beforeAutospacing="0" w:after="0" w:afterAutospacing="0"/>
              <w:ind w:left="0" w:right="0"/>
              <w:jc w:val="center"/>
              <w:textAlignment w:val="top"/>
              <w:rPr>
                <w:bCs/>
                <w:szCs w:val="21"/>
              </w:rPr>
            </w:pPr>
            <w:r>
              <w:rPr>
                <w:bCs/>
                <w:szCs w:val="21"/>
              </w:rPr>
              <w:t>6.996</w:t>
            </w:r>
          </w:p>
        </w:tc>
        <w:tc>
          <w:tcPr>
            <w:tcW w:w="2841" w:type="dxa"/>
            <w:tcBorders>
              <w:tl2br w:val="nil"/>
              <w:tr2bl w:val="nil"/>
            </w:tcBorders>
          </w:tcPr>
          <w:p w14:paraId="227F4000">
            <w:pPr>
              <w:keepNext w:val="0"/>
              <w:keepLines w:val="0"/>
              <w:widowControl/>
              <w:suppressLineNumbers w:val="0"/>
              <w:spacing w:before="0" w:beforeAutospacing="0" w:after="0" w:afterAutospacing="0"/>
              <w:ind w:left="0" w:right="0"/>
              <w:jc w:val="center"/>
              <w:textAlignment w:val="top"/>
              <w:rPr>
                <w:bCs/>
                <w:szCs w:val="21"/>
              </w:rPr>
            </w:pPr>
            <w:r>
              <w:rPr>
                <w:bCs/>
                <w:szCs w:val="21"/>
              </w:rPr>
              <w:t>31.68</w:t>
            </w:r>
          </w:p>
        </w:tc>
      </w:tr>
      <w:tr w14:paraId="0D507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028A355">
            <w:pPr>
              <w:keepNext w:val="0"/>
              <w:keepLines w:val="0"/>
              <w:widowControl/>
              <w:suppressLineNumbers w:val="0"/>
              <w:spacing w:before="0" w:beforeAutospacing="0" w:after="0" w:afterAutospacing="0"/>
              <w:ind w:left="0" w:right="0"/>
              <w:jc w:val="center"/>
              <w:textAlignment w:val="top"/>
              <w:rPr>
                <w:bCs/>
                <w:szCs w:val="21"/>
              </w:rPr>
            </w:pPr>
            <w:r>
              <w:rPr>
                <w:bCs/>
                <w:szCs w:val="21"/>
              </w:rPr>
              <w:t>-6</w:t>
            </w:r>
          </w:p>
        </w:tc>
        <w:tc>
          <w:tcPr>
            <w:tcW w:w="2839" w:type="dxa"/>
            <w:tcBorders>
              <w:tl2br w:val="nil"/>
              <w:tr2bl w:val="nil"/>
            </w:tcBorders>
          </w:tcPr>
          <w:p w14:paraId="1A433728">
            <w:pPr>
              <w:keepNext w:val="0"/>
              <w:keepLines w:val="0"/>
              <w:widowControl/>
              <w:suppressLineNumbers w:val="0"/>
              <w:spacing w:before="0" w:beforeAutospacing="0" w:after="0" w:afterAutospacing="0"/>
              <w:ind w:left="0" w:right="0"/>
              <w:jc w:val="center"/>
              <w:textAlignment w:val="top"/>
              <w:rPr>
                <w:bCs/>
                <w:szCs w:val="21"/>
              </w:rPr>
            </w:pPr>
            <w:r>
              <w:rPr>
                <w:bCs/>
                <w:szCs w:val="21"/>
              </w:rPr>
              <w:t>6.956</w:t>
            </w:r>
          </w:p>
        </w:tc>
        <w:tc>
          <w:tcPr>
            <w:tcW w:w="2841" w:type="dxa"/>
            <w:tcBorders>
              <w:tl2br w:val="nil"/>
              <w:tr2bl w:val="nil"/>
            </w:tcBorders>
          </w:tcPr>
          <w:p w14:paraId="64B44C5F">
            <w:pPr>
              <w:keepNext w:val="0"/>
              <w:keepLines w:val="0"/>
              <w:widowControl/>
              <w:suppressLineNumbers w:val="0"/>
              <w:spacing w:before="0" w:beforeAutospacing="0" w:after="0" w:afterAutospacing="0"/>
              <w:ind w:left="0" w:right="0"/>
              <w:jc w:val="center"/>
              <w:textAlignment w:val="top"/>
              <w:rPr>
                <w:bCs/>
                <w:szCs w:val="21"/>
              </w:rPr>
            </w:pPr>
            <w:r>
              <w:rPr>
                <w:bCs/>
                <w:szCs w:val="21"/>
              </w:rPr>
              <w:t>29.39</w:t>
            </w:r>
          </w:p>
        </w:tc>
      </w:tr>
      <w:tr w14:paraId="4FED3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5E38529">
            <w:pPr>
              <w:keepNext w:val="0"/>
              <w:keepLines w:val="0"/>
              <w:widowControl/>
              <w:suppressLineNumbers w:val="0"/>
              <w:spacing w:before="0" w:beforeAutospacing="0" w:after="0" w:afterAutospacing="0"/>
              <w:ind w:left="0" w:right="0"/>
              <w:jc w:val="center"/>
              <w:textAlignment w:val="top"/>
              <w:rPr>
                <w:bCs/>
                <w:szCs w:val="21"/>
              </w:rPr>
            </w:pPr>
            <w:r>
              <w:rPr>
                <w:bCs/>
                <w:szCs w:val="21"/>
              </w:rPr>
              <w:t>-5</w:t>
            </w:r>
          </w:p>
        </w:tc>
        <w:tc>
          <w:tcPr>
            <w:tcW w:w="2839" w:type="dxa"/>
            <w:tcBorders>
              <w:tl2br w:val="nil"/>
              <w:tr2bl w:val="nil"/>
            </w:tcBorders>
          </w:tcPr>
          <w:p w14:paraId="69068769">
            <w:pPr>
              <w:keepNext w:val="0"/>
              <w:keepLines w:val="0"/>
              <w:widowControl/>
              <w:suppressLineNumbers w:val="0"/>
              <w:spacing w:before="0" w:beforeAutospacing="0" w:after="0" w:afterAutospacing="0"/>
              <w:ind w:left="0" w:right="0"/>
              <w:jc w:val="center"/>
              <w:textAlignment w:val="top"/>
              <w:rPr>
                <w:bCs/>
                <w:szCs w:val="21"/>
              </w:rPr>
            </w:pPr>
            <w:r>
              <w:rPr>
                <w:bCs/>
                <w:szCs w:val="21"/>
              </w:rPr>
              <w:t>6.515</w:t>
            </w:r>
          </w:p>
        </w:tc>
        <w:tc>
          <w:tcPr>
            <w:tcW w:w="2841" w:type="dxa"/>
            <w:tcBorders>
              <w:tl2br w:val="nil"/>
              <w:tr2bl w:val="nil"/>
            </w:tcBorders>
          </w:tcPr>
          <w:p w14:paraId="7D8DAEA4">
            <w:pPr>
              <w:keepNext w:val="0"/>
              <w:keepLines w:val="0"/>
              <w:widowControl/>
              <w:suppressLineNumbers w:val="0"/>
              <w:spacing w:before="0" w:beforeAutospacing="0" w:after="0" w:afterAutospacing="0"/>
              <w:ind w:left="0" w:right="0"/>
              <w:jc w:val="center"/>
              <w:textAlignment w:val="top"/>
              <w:rPr>
                <w:bCs/>
                <w:szCs w:val="21"/>
              </w:rPr>
            </w:pPr>
            <w:r>
              <w:rPr>
                <w:bCs/>
                <w:szCs w:val="21"/>
              </w:rPr>
              <w:t>25.81</w:t>
            </w:r>
          </w:p>
        </w:tc>
      </w:tr>
      <w:tr w14:paraId="1BF49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EC09BF4">
            <w:pPr>
              <w:keepNext w:val="0"/>
              <w:keepLines w:val="0"/>
              <w:widowControl/>
              <w:suppressLineNumbers w:val="0"/>
              <w:spacing w:before="0" w:beforeAutospacing="0" w:after="0" w:afterAutospacing="0"/>
              <w:ind w:left="0" w:right="0"/>
              <w:jc w:val="center"/>
              <w:textAlignment w:val="top"/>
              <w:rPr>
                <w:bCs/>
                <w:szCs w:val="21"/>
              </w:rPr>
            </w:pPr>
            <w:r>
              <w:rPr>
                <w:bCs/>
                <w:szCs w:val="21"/>
              </w:rPr>
              <w:t>-4</w:t>
            </w:r>
          </w:p>
        </w:tc>
        <w:tc>
          <w:tcPr>
            <w:tcW w:w="2839" w:type="dxa"/>
            <w:tcBorders>
              <w:tl2br w:val="nil"/>
              <w:tr2bl w:val="nil"/>
            </w:tcBorders>
          </w:tcPr>
          <w:p w14:paraId="416E48DE">
            <w:pPr>
              <w:keepNext w:val="0"/>
              <w:keepLines w:val="0"/>
              <w:widowControl/>
              <w:suppressLineNumbers w:val="0"/>
              <w:spacing w:before="0" w:beforeAutospacing="0" w:after="0" w:afterAutospacing="0"/>
              <w:ind w:left="0" w:right="0"/>
              <w:jc w:val="center"/>
              <w:textAlignment w:val="top"/>
              <w:rPr>
                <w:bCs/>
                <w:szCs w:val="21"/>
              </w:rPr>
            </w:pPr>
            <w:r>
              <w:rPr>
                <w:bCs/>
                <w:szCs w:val="21"/>
              </w:rPr>
              <w:t>5.844</w:t>
            </w:r>
          </w:p>
        </w:tc>
        <w:tc>
          <w:tcPr>
            <w:tcW w:w="2841" w:type="dxa"/>
            <w:tcBorders>
              <w:tl2br w:val="nil"/>
              <w:tr2bl w:val="nil"/>
            </w:tcBorders>
          </w:tcPr>
          <w:p w14:paraId="0962351B">
            <w:pPr>
              <w:keepNext w:val="0"/>
              <w:keepLines w:val="0"/>
              <w:widowControl/>
              <w:suppressLineNumbers w:val="0"/>
              <w:spacing w:before="0" w:beforeAutospacing="0" w:after="0" w:afterAutospacing="0"/>
              <w:ind w:left="0" w:right="0"/>
              <w:jc w:val="center"/>
              <w:textAlignment w:val="top"/>
              <w:rPr>
                <w:bCs/>
                <w:szCs w:val="21"/>
              </w:rPr>
            </w:pPr>
            <w:r>
              <w:rPr>
                <w:bCs/>
                <w:szCs w:val="21"/>
              </w:rPr>
              <w:t>21.54</w:t>
            </w:r>
          </w:p>
        </w:tc>
      </w:tr>
      <w:tr w14:paraId="3ABA9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403CE47">
            <w:pPr>
              <w:keepNext w:val="0"/>
              <w:keepLines w:val="0"/>
              <w:widowControl/>
              <w:suppressLineNumbers w:val="0"/>
              <w:spacing w:before="0" w:beforeAutospacing="0" w:after="0" w:afterAutospacing="0"/>
              <w:ind w:left="0" w:right="0"/>
              <w:jc w:val="center"/>
              <w:textAlignment w:val="top"/>
              <w:rPr>
                <w:bCs/>
                <w:szCs w:val="21"/>
              </w:rPr>
            </w:pPr>
            <w:r>
              <w:rPr>
                <w:bCs/>
                <w:szCs w:val="21"/>
              </w:rPr>
              <w:t>-3</w:t>
            </w:r>
          </w:p>
        </w:tc>
        <w:tc>
          <w:tcPr>
            <w:tcW w:w="2839" w:type="dxa"/>
            <w:tcBorders>
              <w:tl2br w:val="nil"/>
              <w:tr2bl w:val="nil"/>
            </w:tcBorders>
          </w:tcPr>
          <w:p w14:paraId="0B00C590">
            <w:pPr>
              <w:keepNext w:val="0"/>
              <w:keepLines w:val="0"/>
              <w:widowControl/>
              <w:suppressLineNumbers w:val="0"/>
              <w:spacing w:before="0" w:beforeAutospacing="0" w:after="0" w:afterAutospacing="0"/>
              <w:ind w:left="0" w:right="0"/>
              <w:jc w:val="center"/>
              <w:textAlignment w:val="top"/>
              <w:rPr>
                <w:bCs/>
                <w:szCs w:val="21"/>
              </w:rPr>
            </w:pPr>
            <w:r>
              <w:rPr>
                <w:bCs/>
                <w:szCs w:val="21"/>
              </w:rPr>
              <w:t>5.141</w:t>
            </w:r>
          </w:p>
        </w:tc>
        <w:tc>
          <w:tcPr>
            <w:tcW w:w="2841" w:type="dxa"/>
            <w:tcBorders>
              <w:tl2br w:val="nil"/>
              <w:tr2bl w:val="nil"/>
            </w:tcBorders>
          </w:tcPr>
          <w:p w14:paraId="4F93FF30">
            <w:pPr>
              <w:keepNext w:val="0"/>
              <w:keepLines w:val="0"/>
              <w:widowControl/>
              <w:suppressLineNumbers w:val="0"/>
              <w:spacing w:before="0" w:beforeAutospacing="0" w:after="0" w:afterAutospacing="0"/>
              <w:ind w:left="0" w:right="0"/>
              <w:jc w:val="center"/>
              <w:textAlignment w:val="top"/>
              <w:rPr>
                <w:bCs/>
                <w:szCs w:val="21"/>
              </w:rPr>
            </w:pPr>
            <w:r>
              <w:rPr>
                <w:bCs/>
                <w:szCs w:val="21"/>
              </w:rPr>
              <w:t>17.18</w:t>
            </w:r>
          </w:p>
        </w:tc>
      </w:tr>
      <w:tr w14:paraId="71799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8DBC213">
            <w:pPr>
              <w:keepNext w:val="0"/>
              <w:keepLines w:val="0"/>
              <w:widowControl/>
              <w:suppressLineNumbers w:val="0"/>
              <w:spacing w:before="0" w:beforeAutospacing="0" w:after="0" w:afterAutospacing="0"/>
              <w:ind w:left="0" w:right="0"/>
              <w:jc w:val="center"/>
              <w:textAlignment w:val="top"/>
              <w:rPr>
                <w:bCs/>
                <w:szCs w:val="21"/>
              </w:rPr>
            </w:pPr>
            <w:r>
              <w:rPr>
                <w:bCs/>
                <w:szCs w:val="21"/>
              </w:rPr>
              <w:t>-2</w:t>
            </w:r>
          </w:p>
        </w:tc>
        <w:tc>
          <w:tcPr>
            <w:tcW w:w="2839" w:type="dxa"/>
            <w:tcBorders>
              <w:tl2br w:val="nil"/>
              <w:tr2bl w:val="nil"/>
            </w:tcBorders>
          </w:tcPr>
          <w:p w14:paraId="28C7B0C9">
            <w:pPr>
              <w:keepNext w:val="0"/>
              <w:keepLines w:val="0"/>
              <w:widowControl/>
              <w:suppressLineNumbers w:val="0"/>
              <w:spacing w:before="0" w:beforeAutospacing="0" w:after="0" w:afterAutospacing="0"/>
              <w:ind w:left="0" w:right="0"/>
              <w:jc w:val="center"/>
              <w:textAlignment w:val="top"/>
              <w:rPr>
                <w:bCs/>
                <w:szCs w:val="21"/>
              </w:rPr>
            </w:pPr>
            <w:r>
              <w:rPr>
                <w:bCs/>
                <w:szCs w:val="21"/>
              </w:rPr>
              <w:t>4.553</w:t>
            </w:r>
          </w:p>
        </w:tc>
        <w:tc>
          <w:tcPr>
            <w:tcW w:w="2841" w:type="dxa"/>
            <w:tcBorders>
              <w:tl2br w:val="nil"/>
              <w:tr2bl w:val="nil"/>
            </w:tcBorders>
          </w:tcPr>
          <w:p w14:paraId="335B29CA">
            <w:pPr>
              <w:keepNext w:val="0"/>
              <w:keepLines w:val="0"/>
              <w:widowControl/>
              <w:suppressLineNumbers w:val="0"/>
              <w:spacing w:before="0" w:beforeAutospacing="0" w:after="0" w:afterAutospacing="0"/>
              <w:ind w:left="0" w:right="0"/>
              <w:jc w:val="center"/>
              <w:textAlignment w:val="top"/>
              <w:rPr>
                <w:bCs/>
                <w:szCs w:val="21"/>
              </w:rPr>
            </w:pPr>
            <w:r>
              <w:rPr>
                <w:bCs/>
                <w:szCs w:val="21"/>
              </w:rPr>
              <w:t>13.23</w:t>
            </w:r>
          </w:p>
        </w:tc>
      </w:tr>
      <w:tr w14:paraId="1B728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8B16ADD">
            <w:pPr>
              <w:keepNext w:val="0"/>
              <w:keepLines w:val="0"/>
              <w:widowControl/>
              <w:suppressLineNumbers w:val="0"/>
              <w:spacing w:before="0" w:beforeAutospacing="0" w:after="0" w:afterAutospacing="0"/>
              <w:ind w:left="0" w:right="0"/>
              <w:jc w:val="center"/>
              <w:textAlignment w:val="top"/>
              <w:rPr>
                <w:bCs/>
                <w:szCs w:val="21"/>
              </w:rPr>
            </w:pPr>
            <w:r>
              <w:rPr>
                <w:bCs/>
                <w:szCs w:val="21"/>
              </w:rPr>
              <w:t>-1</w:t>
            </w:r>
          </w:p>
        </w:tc>
        <w:tc>
          <w:tcPr>
            <w:tcW w:w="2839" w:type="dxa"/>
            <w:tcBorders>
              <w:tl2br w:val="nil"/>
              <w:tr2bl w:val="nil"/>
            </w:tcBorders>
          </w:tcPr>
          <w:p w14:paraId="34D54D11">
            <w:pPr>
              <w:keepNext w:val="0"/>
              <w:keepLines w:val="0"/>
              <w:widowControl/>
              <w:suppressLineNumbers w:val="0"/>
              <w:spacing w:before="0" w:beforeAutospacing="0" w:after="0" w:afterAutospacing="0"/>
              <w:ind w:left="0" w:right="0"/>
              <w:jc w:val="center"/>
              <w:textAlignment w:val="top"/>
              <w:rPr>
                <w:bCs/>
                <w:szCs w:val="21"/>
              </w:rPr>
            </w:pPr>
            <w:r>
              <w:rPr>
                <w:bCs/>
                <w:szCs w:val="21"/>
              </w:rPr>
              <w:t>4.169</w:t>
            </w:r>
          </w:p>
        </w:tc>
        <w:tc>
          <w:tcPr>
            <w:tcW w:w="2841" w:type="dxa"/>
            <w:tcBorders>
              <w:tl2br w:val="nil"/>
              <w:tr2bl w:val="nil"/>
            </w:tcBorders>
          </w:tcPr>
          <w:p w14:paraId="71E8F07B">
            <w:pPr>
              <w:keepNext w:val="0"/>
              <w:keepLines w:val="0"/>
              <w:widowControl/>
              <w:suppressLineNumbers w:val="0"/>
              <w:spacing w:before="0" w:beforeAutospacing="0" w:after="0" w:afterAutospacing="0"/>
              <w:ind w:left="0" w:right="0"/>
              <w:jc w:val="center"/>
              <w:textAlignment w:val="top"/>
              <w:rPr>
                <w:bCs/>
                <w:szCs w:val="21"/>
              </w:rPr>
            </w:pPr>
            <w:r>
              <w:rPr>
                <w:bCs/>
                <w:szCs w:val="21"/>
              </w:rPr>
              <w:t>10.24</w:t>
            </w:r>
          </w:p>
        </w:tc>
      </w:tr>
      <w:tr w14:paraId="1BC98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FC0BE8D">
            <w:pPr>
              <w:keepNext w:val="0"/>
              <w:keepLines w:val="0"/>
              <w:widowControl/>
              <w:suppressLineNumbers w:val="0"/>
              <w:spacing w:before="0" w:beforeAutospacing="0" w:after="0" w:afterAutospacing="0"/>
              <w:ind w:left="0" w:right="0"/>
              <w:jc w:val="center"/>
              <w:textAlignment w:val="top"/>
              <w:rPr>
                <w:bCs/>
                <w:szCs w:val="21"/>
              </w:rPr>
            </w:pPr>
            <w:r>
              <w:rPr>
                <w:bCs/>
                <w:szCs w:val="21"/>
              </w:rPr>
              <w:t>0</w:t>
            </w:r>
          </w:p>
        </w:tc>
        <w:tc>
          <w:tcPr>
            <w:tcW w:w="2839" w:type="dxa"/>
            <w:tcBorders>
              <w:tl2br w:val="nil"/>
              <w:tr2bl w:val="nil"/>
            </w:tcBorders>
          </w:tcPr>
          <w:p w14:paraId="06204B7D">
            <w:pPr>
              <w:keepNext w:val="0"/>
              <w:keepLines w:val="0"/>
              <w:widowControl/>
              <w:suppressLineNumbers w:val="0"/>
              <w:spacing w:before="0" w:beforeAutospacing="0" w:after="0" w:afterAutospacing="0"/>
              <w:ind w:left="0" w:right="0"/>
              <w:jc w:val="center"/>
              <w:textAlignment w:val="top"/>
              <w:rPr>
                <w:bCs/>
                <w:szCs w:val="21"/>
              </w:rPr>
            </w:pPr>
            <w:r>
              <w:rPr>
                <w:bCs/>
                <w:szCs w:val="21"/>
              </w:rPr>
              <w:t>4.036</w:t>
            </w:r>
          </w:p>
        </w:tc>
        <w:tc>
          <w:tcPr>
            <w:tcW w:w="2841" w:type="dxa"/>
            <w:tcBorders>
              <w:tl2br w:val="nil"/>
              <w:tr2bl w:val="nil"/>
            </w:tcBorders>
          </w:tcPr>
          <w:p w14:paraId="322AAFE8">
            <w:pPr>
              <w:keepNext w:val="0"/>
              <w:keepLines w:val="0"/>
              <w:widowControl/>
              <w:suppressLineNumbers w:val="0"/>
              <w:spacing w:before="0" w:beforeAutospacing="0" w:after="0" w:afterAutospacing="0"/>
              <w:ind w:left="0" w:right="0"/>
              <w:jc w:val="center"/>
              <w:textAlignment w:val="top"/>
              <w:rPr>
                <w:bCs/>
                <w:szCs w:val="21"/>
              </w:rPr>
            </w:pPr>
            <w:r>
              <w:rPr>
                <w:bCs/>
                <w:szCs w:val="21"/>
              </w:rPr>
              <w:t>9.05</w:t>
            </w:r>
          </w:p>
        </w:tc>
      </w:tr>
      <w:tr w14:paraId="3B3A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EF0E759">
            <w:pPr>
              <w:keepNext w:val="0"/>
              <w:keepLines w:val="0"/>
              <w:widowControl/>
              <w:suppressLineNumbers w:val="0"/>
              <w:spacing w:before="0" w:beforeAutospacing="0" w:after="0" w:afterAutospacing="0"/>
              <w:ind w:left="0" w:right="0"/>
              <w:jc w:val="center"/>
              <w:textAlignment w:val="top"/>
              <w:rPr>
                <w:bCs/>
                <w:szCs w:val="21"/>
              </w:rPr>
            </w:pPr>
            <w:r>
              <w:rPr>
                <w:bCs/>
                <w:szCs w:val="21"/>
              </w:rPr>
              <w:t>1</w:t>
            </w:r>
          </w:p>
        </w:tc>
        <w:tc>
          <w:tcPr>
            <w:tcW w:w="2839" w:type="dxa"/>
            <w:tcBorders>
              <w:tl2br w:val="nil"/>
              <w:tr2bl w:val="nil"/>
            </w:tcBorders>
          </w:tcPr>
          <w:p w14:paraId="20CB83A4">
            <w:pPr>
              <w:keepNext w:val="0"/>
              <w:keepLines w:val="0"/>
              <w:widowControl/>
              <w:suppressLineNumbers w:val="0"/>
              <w:spacing w:before="0" w:beforeAutospacing="0" w:after="0" w:afterAutospacing="0"/>
              <w:ind w:left="0" w:right="0"/>
              <w:jc w:val="center"/>
              <w:textAlignment w:val="top"/>
              <w:rPr>
                <w:bCs/>
                <w:szCs w:val="21"/>
              </w:rPr>
            </w:pPr>
            <w:r>
              <w:rPr>
                <w:bCs/>
                <w:szCs w:val="21"/>
              </w:rPr>
              <w:t>4.169</w:t>
            </w:r>
          </w:p>
        </w:tc>
        <w:tc>
          <w:tcPr>
            <w:tcW w:w="2841" w:type="dxa"/>
            <w:tcBorders>
              <w:tl2br w:val="nil"/>
              <w:tr2bl w:val="nil"/>
            </w:tcBorders>
          </w:tcPr>
          <w:p w14:paraId="78AA50D3">
            <w:pPr>
              <w:keepNext w:val="0"/>
              <w:keepLines w:val="0"/>
              <w:widowControl/>
              <w:suppressLineNumbers w:val="0"/>
              <w:spacing w:before="0" w:beforeAutospacing="0" w:after="0" w:afterAutospacing="0"/>
              <w:ind w:left="0" w:right="0"/>
              <w:jc w:val="center"/>
              <w:textAlignment w:val="top"/>
              <w:rPr>
                <w:bCs/>
                <w:szCs w:val="21"/>
              </w:rPr>
            </w:pPr>
            <w:r>
              <w:rPr>
                <w:bCs/>
                <w:szCs w:val="21"/>
              </w:rPr>
              <w:t>10.24</w:t>
            </w:r>
          </w:p>
        </w:tc>
      </w:tr>
      <w:tr w14:paraId="2CE1B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30CBDF4">
            <w:pPr>
              <w:keepNext w:val="0"/>
              <w:keepLines w:val="0"/>
              <w:widowControl/>
              <w:suppressLineNumbers w:val="0"/>
              <w:spacing w:before="0" w:beforeAutospacing="0" w:after="0" w:afterAutospacing="0"/>
              <w:ind w:left="0" w:right="0"/>
              <w:jc w:val="center"/>
              <w:textAlignment w:val="top"/>
              <w:rPr>
                <w:bCs/>
                <w:szCs w:val="21"/>
              </w:rPr>
            </w:pPr>
            <w:r>
              <w:rPr>
                <w:bCs/>
                <w:szCs w:val="21"/>
              </w:rPr>
              <w:t>2</w:t>
            </w:r>
          </w:p>
        </w:tc>
        <w:tc>
          <w:tcPr>
            <w:tcW w:w="2839" w:type="dxa"/>
            <w:tcBorders>
              <w:tl2br w:val="nil"/>
              <w:tr2bl w:val="nil"/>
            </w:tcBorders>
          </w:tcPr>
          <w:p w14:paraId="002020FB">
            <w:pPr>
              <w:keepNext w:val="0"/>
              <w:keepLines w:val="0"/>
              <w:widowControl/>
              <w:suppressLineNumbers w:val="0"/>
              <w:spacing w:before="0" w:beforeAutospacing="0" w:after="0" w:afterAutospacing="0"/>
              <w:ind w:left="0" w:right="0"/>
              <w:jc w:val="center"/>
              <w:textAlignment w:val="top"/>
              <w:rPr>
                <w:bCs/>
                <w:szCs w:val="21"/>
              </w:rPr>
            </w:pPr>
            <w:r>
              <w:rPr>
                <w:bCs/>
                <w:szCs w:val="21"/>
              </w:rPr>
              <w:t>4.553</w:t>
            </w:r>
          </w:p>
        </w:tc>
        <w:tc>
          <w:tcPr>
            <w:tcW w:w="2841" w:type="dxa"/>
            <w:tcBorders>
              <w:tl2br w:val="nil"/>
              <w:tr2bl w:val="nil"/>
            </w:tcBorders>
          </w:tcPr>
          <w:p w14:paraId="00B49EC4">
            <w:pPr>
              <w:keepNext w:val="0"/>
              <w:keepLines w:val="0"/>
              <w:widowControl/>
              <w:suppressLineNumbers w:val="0"/>
              <w:spacing w:before="0" w:beforeAutospacing="0" w:after="0" w:afterAutospacing="0"/>
              <w:ind w:left="0" w:right="0"/>
              <w:jc w:val="center"/>
              <w:textAlignment w:val="top"/>
              <w:rPr>
                <w:bCs/>
                <w:szCs w:val="21"/>
              </w:rPr>
            </w:pPr>
            <w:r>
              <w:rPr>
                <w:bCs/>
                <w:szCs w:val="21"/>
              </w:rPr>
              <w:t>13.23</w:t>
            </w:r>
          </w:p>
        </w:tc>
      </w:tr>
      <w:tr w14:paraId="128AD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B093681">
            <w:pPr>
              <w:keepNext w:val="0"/>
              <w:keepLines w:val="0"/>
              <w:widowControl/>
              <w:suppressLineNumbers w:val="0"/>
              <w:spacing w:before="0" w:beforeAutospacing="0" w:after="0" w:afterAutospacing="0"/>
              <w:ind w:left="0" w:right="0"/>
              <w:jc w:val="center"/>
              <w:textAlignment w:val="top"/>
              <w:rPr>
                <w:bCs/>
                <w:szCs w:val="21"/>
              </w:rPr>
            </w:pPr>
            <w:r>
              <w:rPr>
                <w:bCs/>
                <w:szCs w:val="21"/>
              </w:rPr>
              <w:t>3</w:t>
            </w:r>
          </w:p>
        </w:tc>
        <w:tc>
          <w:tcPr>
            <w:tcW w:w="2839" w:type="dxa"/>
            <w:tcBorders>
              <w:tl2br w:val="nil"/>
              <w:tr2bl w:val="nil"/>
            </w:tcBorders>
          </w:tcPr>
          <w:p w14:paraId="2C389E9F">
            <w:pPr>
              <w:keepNext w:val="0"/>
              <w:keepLines w:val="0"/>
              <w:widowControl/>
              <w:suppressLineNumbers w:val="0"/>
              <w:spacing w:before="0" w:beforeAutospacing="0" w:after="0" w:afterAutospacing="0"/>
              <w:ind w:left="0" w:right="0"/>
              <w:jc w:val="center"/>
              <w:textAlignment w:val="top"/>
              <w:rPr>
                <w:bCs/>
                <w:szCs w:val="21"/>
              </w:rPr>
            </w:pPr>
            <w:r>
              <w:rPr>
                <w:bCs/>
                <w:szCs w:val="21"/>
              </w:rPr>
              <w:t>5.141</w:t>
            </w:r>
          </w:p>
        </w:tc>
        <w:tc>
          <w:tcPr>
            <w:tcW w:w="2841" w:type="dxa"/>
            <w:tcBorders>
              <w:tl2br w:val="nil"/>
              <w:tr2bl w:val="nil"/>
            </w:tcBorders>
          </w:tcPr>
          <w:p w14:paraId="259426F8">
            <w:pPr>
              <w:keepNext w:val="0"/>
              <w:keepLines w:val="0"/>
              <w:widowControl/>
              <w:suppressLineNumbers w:val="0"/>
              <w:spacing w:before="0" w:beforeAutospacing="0" w:after="0" w:afterAutospacing="0"/>
              <w:ind w:left="0" w:right="0"/>
              <w:jc w:val="center"/>
              <w:textAlignment w:val="top"/>
              <w:rPr>
                <w:bCs/>
                <w:szCs w:val="21"/>
              </w:rPr>
            </w:pPr>
            <w:r>
              <w:rPr>
                <w:bCs/>
                <w:szCs w:val="21"/>
              </w:rPr>
              <w:t>17.18</w:t>
            </w:r>
          </w:p>
        </w:tc>
      </w:tr>
      <w:tr w14:paraId="786C9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E8D0993">
            <w:pPr>
              <w:keepNext w:val="0"/>
              <w:keepLines w:val="0"/>
              <w:widowControl/>
              <w:suppressLineNumbers w:val="0"/>
              <w:spacing w:before="0" w:beforeAutospacing="0" w:after="0" w:afterAutospacing="0"/>
              <w:ind w:left="0" w:right="0"/>
              <w:jc w:val="center"/>
              <w:textAlignment w:val="top"/>
              <w:rPr>
                <w:bCs/>
                <w:szCs w:val="21"/>
              </w:rPr>
            </w:pPr>
            <w:r>
              <w:rPr>
                <w:bCs/>
                <w:szCs w:val="21"/>
              </w:rPr>
              <w:t>4</w:t>
            </w:r>
          </w:p>
        </w:tc>
        <w:tc>
          <w:tcPr>
            <w:tcW w:w="2839" w:type="dxa"/>
            <w:tcBorders>
              <w:tl2br w:val="nil"/>
              <w:tr2bl w:val="nil"/>
            </w:tcBorders>
          </w:tcPr>
          <w:p w14:paraId="7737DD62">
            <w:pPr>
              <w:keepNext w:val="0"/>
              <w:keepLines w:val="0"/>
              <w:widowControl/>
              <w:suppressLineNumbers w:val="0"/>
              <w:spacing w:before="0" w:beforeAutospacing="0" w:after="0" w:afterAutospacing="0"/>
              <w:ind w:left="0" w:right="0"/>
              <w:jc w:val="center"/>
              <w:textAlignment w:val="top"/>
              <w:rPr>
                <w:bCs/>
                <w:szCs w:val="21"/>
              </w:rPr>
            </w:pPr>
            <w:r>
              <w:rPr>
                <w:bCs/>
                <w:szCs w:val="21"/>
              </w:rPr>
              <w:t>5.844</w:t>
            </w:r>
          </w:p>
        </w:tc>
        <w:tc>
          <w:tcPr>
            <w:tcW w:w="2841" w:type="dxa"/>
            <w:tcBorders>
              <w:tl2br w:val="nil"/>
              <w:tr2bl w:val="nil"/>
            </w:tcBorders>
          </w:tcPr>
          <w:p w14:paraId="7CE598A2">
            <w:pPr>
              <w:keepNext w:val="0"/>
              <w:keepLines w:val="0"/>
              <w:widowControl/>
              <w:suppressLineNumbers w:val="0"/>
              <w:spacing w:before="0" w:beforeAutospacing="0" w:after="0" w:afterAutospacing="0"/>
              <w:ind w:left="0" w:right="0"/>
              <w:jc w:val="center"/>
              <w:textAlignment w:val="top"/>
              <w:rPr>
                <w:bCs/>
                <w:szCs w:val="21"/>
              </w:rPr>
            </w:pPr>
            <w:r>
              <w:rPr>
                <w:bCs/>
                <w:szCs w:val="21"/>
              </w:rPr>
              <w:t>21.54</w:t>
            </w:r>
          </w:p>
        </w:tc>
      </w:tr>
      <w:tr w14:paraId="3DF82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A5D1BD0">
            <w:pPr>
              <w:keepNext w:val="0"/>
              <w:keepLines w:val="0"/>
              <w:widowControl/>
              <w:suppressLineNumbers w:val="0"/>
              <w:spacing w:before="0" w:beforeAutospacing="0" w:after="0" w:afterAutospacing="0"/>
              <w:ind w:left="0" w:right="0"/>
              <w:jc w:val="center"/>
              <w:textAlignment w:val="top"/>
              <w:rPr>
                <w:bCs/>
                <w:szCs w:val="21"/>
              </w:rPr>
            </w:pPr>
            <w:r>
              <w:rPr>
                <w:bCs/>
                <w:szCs w:val="21"/>
              </w:rPr>
              <w:t>5</w:t>
            </w:r>
          </w:p>
        </w:tc>
        <w:tc>
          <w:tcPr>
            <w:tcW w:w="2839" w:type="dxa"/>
            <w:tcBorders>
              <w:tl2br w:val="nil"/>
              <w:tr2bl w:val="nil"/>
            </w:tcBorders>
          </w:tcPr>
          <w:p w14:paraId="7B6BD238">
            <w:pPr>
              <w:keepNext w:val="0"/>
              <w:keepLines w:val="0"/>
              <w:widowControl/>
              <w:suppressLineNumbers w:val="0"/>
              <w:spacing w:before="0" w:beforeAutospacing="0" w:after="0" w:afterAutospacing="0"/>
              <w:ind w:left="0" w:right="0"/>
              <w:jc w:val="center"/>
              <w:textAlignment w:val="top"/>
              <w:rPr>
                <w:bCs/>
                <w:szCs w:val="21"/>
              </w:rPr>
            </w:pPr>
            <w:r>
              <w:rPr>
                <w:bCs/>
                <w:szCs w:val="21"/>
              </w:rPr>
              <w:t>6.515</w:t>
            </w:r>
          </w:p>
        </w:tc>
        <w:tc>
          <w:tcPr>
            <w:tcW w:w="2841" w:type="dxa"/>
            <w:tcBorders>
              <w:tl2br w:val="nil"/>
              <w:tr2bl w:val="nil"/>
            </w:tcBorders>
          </w:tcPr>
          <w:p w14:paraId="02077C8A">
            <w:pPr>
              <w:keepNext w:val="0"/>
              <w:keepLines w:val="0"/>
              <w:widowControl/>
              <w:suppressLineNumbers w:val="0"/>
              <w:spacing w:before="0" w:beforeAutospacing="0" w:after="0" w:afterAutospacing="0"/>
              <w:ind w:left="0" w:right="0"/>
              <w:jc w:val="center"/>
              <w:textAlignment w:val="top"/>
              <w:rPr>
                <w:bCs/>
                <w:szCs w:val="21"/>
              </w:rPr>
            </w:pPr>
            <w:r>
              <w:rPr>
                <w:bCs/>
                <w:szCs w:val="21"/>
              </w:rPr>
              <w:t>25.81</w:t>
            </w:r>
          </w:p>
        </w:tc>
      </w:tr>
      <w:tr w14:paraId="62DE4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0D3A185">
            <w:pPr>
              <w:keepNext w:val="0"/>
              <w:keepLines w:val="0"/>
              <w:widowControl/>
              <w:suppressLineNumbers w:val="0"/>
              <w:spacing w:before="0" w:beforeAutospacing="0" w:after="0" w:afterAutospacing="0"/>
              <w:ind w:left="0" w:right="0"/>
              <w:jc w:val="center"/>
              <w:textAlignment w:val="top"/>
              <w:rPr>
                <w:bCs/>
                <w:szCs w:val="21"/>
              </w:rPr>
            </w:pPr>
            <w:r>
              <w:rPr>
                <w:bCs/>
                <w:szCs w:val="21"/>
              </w:rPr>
              <w:t>6</w:t>
            </w:r>
          </w:p>
        </w:tc>
        <w:tc>
          <w:tcPr>
            <w:tcW w:w="2839" w:type="dxa"/>
            <w:tcBorders>
              <w:tl2br w:val="nil"/>
              <w:tr2bl w:val="nil"/>
            </w:tcBorders>
          </w:tcPr>
          <w:p w14:paraId="4880B61D">
            <w:pPr>
              <w:keepNext w:val="0"/>
              <w:keepLines w:val="0"/>
              <w:widowControl/>
              <w:suppressLineNumbers w:val="0"/>
              <w:spacing w:before="0" w:beforeAutospacing="0" w:after="0" w:afterAutospacing="0"/>
              <w:ind w:left="0" w:right="0"/>
              <w:jc w:val="center"/>
              <w:textAlignment w:val="top"/>
              <w:rPr>
                <w:bCs/>
                <w:szCs w:val="21"/>
              </w:rPr>
            </w:pPr>
            <w:r>
              <w:rPr>
                <w:bCs/>
                <w:szCs w:val="21"/>
              </w:rPr>
              <w:t>6.956</w:t>
            </w:r>
          </w:p>
        </w:tc>
        <w:tc>
          <w:tcPr>
            <w:tcW w:w="2841" w:type="dxa"/>
            <w:tcBorders>
              <w:tl2br w:val="nil"/>
              <w:tr2bl w:val="nil"/>
            </w:tcBorders>
          </w:tcPr>
          <w:p w14:paraId="4B37E92D">
            <w:pPr>
              <w:keepNext w:val="0"/>
              <w:keepLines w:val="0"/>
              <w:widowControl/>
              <w:suppressLineNumbers w:val="0"/>
              <w:spacing w:before="0" w:beforeAutospacing="0" w:after="0" w:afterAutospacing="0"/>
              <w:ind w:left="0" w:right="0"/>
              <w:jc w:val="center"/>
              <w:textAlignment w:val="top"/>
              <w:rPr>
                <w:bCs/>
                <w:szCs w:val="21"/>
              </w:rPr>
            </w:pPr>
            <w:r>
              <w:rPr>
                <w:bCs/>
                <w:szCs w:val="21"/>
              </w:rPr>
              <w:t>29.39</w:t>
            </w:r>
          </w:p>
        </w:tc>
      </w:tr>
      <w:tr w14:paraId="05A98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9055DAD">
            <w:pPr>
              <w:keepNext w:val="0"/>
              <w:keepLines w:val="0"/>
              <w:widowControl/>
              <w:suppressLineNumbers w:val="0"/>
              <w:spacing w:before="0" w:beforeAutospacing="0" w:after="0" w:afterAutospacing="0"/>
              <w:ind w:left="0" w:right="0"/>
              <w:jc w:val="center"/>
              <w:textAlignment w:val="top"/>
              <w:rPr>
                <w:bCs/>
                <w:szCs w:val="21"/>
              </w:rPr>
            </w:pPr>
            <w:r>
              <w:rPr>
                <w:bCs/>
                <w:szCs w:val="21"/>
              </w:rPr>
              <w:t>7</w:t>
            </w:r>
          </w:p>
        </w:tc>
        <w:tc>
          <w:tcPr>
            <w:tcW w:w="2839" w:type="dxa"/>
            <w:tcBorders>
              <w:tl2br w:val="nil"/>
              <w:tr2bl w:val="nil"/>
            </w:tcBorders>
          </w:tcPr>
          <w:p w14:paraId="67E15F87">
            <w:pPr>
              <w:keepNext w:val="0"/>
              <w:keepLines w:val="0"/>
              <w:widowControl/>
              <w:suppressLineNumbers w:val="0"/>
              <w:spacing w:before="0" w:beforeAutospacing="0" w:after="0" w:afterAutospacing="0"/>
              <w:ind w:left="0" w:right="0"/>
              <w:jc w:val="center"/>
              <w:textAlignment w:val="top"/>
              <w:rPr>
                <w:bCs/>
                <w:szCs w:val="21"/>
              </w:rPr>
            </w:pPr>
            <w:r>
              <w:rPr>
                <w:bCs/>
                <w:szCs w:val="21"/>
              </w:rPr>
              <w:t>6.996</w:t>
            </w:r>
          </w:p>
        </w:tc>
        <w:tc>
          <w:tcPr>
            <w:tcW w:w="2841" w:type="dxa"/>
            <w:tcBorders>
              <w:tl2br w:val="nil"/>
              <w:tr2bl w:val="nil"/>
            </w:tcBorders>
          </w:tcPr>
          <w:p w14:paraId="42443744">
            <w:pPr>
              <w:keepNext w:val="0"/>
              <w:keepLines w:val="0"/>
              <w:widowControl/>
              <w:suppressLineNumbers w:val="0"/>
              <w:spacing w:before="0" w:beforeAutospacing="0" w:after="0" w:afterAutospacing="0"/>
              <w:ind w:left="0" w:right="0"/>
              <w:jc w:val="center"/>
              <w:textAlignment w:val="top"/>
              <w:rPr>
                <w:bCs/>
                <w:szCs w:val="21"/>
              </w:rPr>
            </w:pPr>
            <w:r>
              <w:rPr>
                <w:bCs/>
                <w:szCs w:val="21"/>
              </w:rPr>
              <w:t>31.68</w:t>
            </w:r>
          </w:p>
        </w:tc>
      </w:tr>
      <w:tr w14:paraId="0FC9A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C62E2F6">
            <w:pPr>
              <w:keepNext w:val="0"/>
              <w:keepLines w:val="0"/>
              <w:widowControl/>
              <w:suppressLineNumbers w:val="0"/>
              <w:spacing w:before="0" w:beforeAutospacing="0" w:after="0" w:afterAutospacing="0"/>
              <w:ind w:left="0" w:right="0"/>
              <w:jc w:val="center"/>
              <w:textAlignment w:val="top"/>
              <w:rPr>
                <w:bCs/>
                <w:szCs w:val="21"/>
              </w:rPr>
            </w:pPr>
            <w:r>
              <w:rPr>
                <w:bCs/>
                <w:szCs w:val="21"/>
              </w:rPr>
              <w:t>8</w:t>
            </w:r>
          </w:p>
        </w:tc>
        <w:tc>
          <w:tcPr>
            <w:tcW w:w="2839" w:type="dxa"/>
            <w:tcBorders>
              <w:tl2br w:val="nil"/>
              <w:tr2bl w:val="nil"/>
            </w:tcBorders>
          </w:tcPr>
          <w:p w14:paraId="6117DF51">
            <w:pPr>
              <w:keepNext w:val="0"/>
              <w:keepLines w:val="0"/>
              <w:widowControl/>
              <w:suppressLineNumbers w:val="0"/>
              <w:spacing w:before="0" w:beforeAutospacing="0" w:after="0" w:afterAutospacing="0"/>
              <w:ind w:left="0" w:right="0"/>
              <w:jc w:val="center"/>
              <w:textAlignment w:val="top"/>
              <w:rPr>
                <w:bCs/>
                <w:szCs w:val="21"/>
              </w:rPr>
            </w:pPr>
            <w:r>
              <w:rPr>
                <w:bCs/>
                <w:szCs w:val="21"/>
              </w:rPr>
              <w:t>6.583</w:t>
            </w:r>
          </w:p>
        </w:tc>
        <w:tc>
          <w:tcPr>
            <w:tcW w:w="2841" w:type="dxa"/>
            <w:tcBorders>
              <w:tl2br w:val="nil"/>
              <w:tr2bl w:val="nil"/>
            </w:tcBorders>
          </w:tcPr>
          <w:p w14:paraId="135DA020">
            <w:pPr>
              <w:keepNext w:val="0"/>
              <w:keepLines w:val="0"/>
              <w:widowControl/>
              <w:suppressLineNumbers w:val="0"/>
              <w:spacing w:before="0" w:beforeAutospacing="0" w:after="0" w:afterAutospacing="0"/>
              <w:ind w:left="0" w:right="0"/>
              <w:jc w:val="center"/>
              <w:textAlignment w:val="top"/>
              <w:rPr>
                <w:bCs/>
                <w:szCs w:val="21"/>
              </w:rPr>
            </w:pPr>
            <w:r>
              <w:rPr>
                <w:bCs/>
                <w:szCs w:val="21"/>
              </w:rPr>
              <w:t>32.37</w:t>
            </w:r>
          </w:p>
        </w:tc>
      </w:tr>
      <w:tr w14:paraId="050DF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2CD59B9">
            <w:pPr>
              <w:keepNext w:val="0"/>
              <w:keepLines w:val="0"/>
              <w:widowControl/>
              <w:suppressLineNumbers w:val="0"/>
              <w:spacing w:before="0" w:beforeAutospacing="0" w:after="0" w:afterAutospacing="0"/>
              <w:ind w:left="0" w:right="0"/>
              <w:jc w:val="center"/>
              <w:textAlignment w:val="top"/>
              <w:rPr>
                <w:bCs/>
                <w:szCs w:val="21"/>
              </w:rPr>
            </w:pPr>
            <w:r>
              <w:rPr>
                <w:bCs/>
                <w:szCs w:val="21"/>
              </w:rPr>
              <w:t>9</w:t>
            </w:r>
          </w:p>
        </w:tc>
        <w:tc>
          <w:tcPr>
            <w:tcW w:w="2839" w:type="dxa"/>
            <w:tcBorders>
              <w:tl2br w:val="nil"/>
              <w:tr2bl w:val="nil"/>
            </w:tcBorders>
          </w:tcPr>
          <w:p w14:paraId="5FCDBA6E">
            <w:pPr>
              <w:keepNext w:val="0"/>
              <w:keepLines w:val="0"/>
              <w:widowControl/>
              <w:suppressLineNumbers w:val="0"/>
              <w:spacing w:before="0" w:beforeAutospacing="0" w:after="0" w:afterAutospacing="0"/>
              <w:ind w:left="0" w:right="0"/>
              <w:jc w:val="center"/>
              <w:textAlignment w:val="top"/>
              <w:rPr>
                <w:bCs/>
                <w:szCs w:val="21"/>
              </w:rPr>
            </w:pPr>
            <w:r>
              <w:rPr>
                <w:bCs/>
                <w:szCs w:val="21"/>
              </w:rPr>
              <w:t>5.822</w:t>
            </w:r>
          </w:p>
        </w:tc>
        <w:tc>
          <w:tcPr>
            <w:tcW w:w="2841" w:type="dxa"/>
            <w:tcBorders>
              <w:tl2br w:val="nil"/>
              <w:tr2bl w:val="nil"/>
            </w:tcBorders>
          </w:tcPr>
          <w:p w14:paraId="4FBAE299">
            <w:pPr>
              <w:keepNext w:val="0"/>
              <w:keepLines w:val="0"/>
              <w:widowControl/>
              <w:suppressLineNumbers w:val="0"/>
              <w:spacing w:before="0" w:beforeAutospacing="0" w:after="0" w:afterAutospacing="0"/>
              <w:ind w:left="0" w:right="0"/>
              <w:jc w:val="center"/>
              <w:textAlignment w:val="top"/>
              <w:rPr>
                <w:bCs/>
                <w:szCs w:val="21"/>
              </w:rPr>
            </w:pPr>
            <w:r>
              <w:rPr>
                <w:bCs/>
                <w:szCs w:val="21"/>
              </w:rPr>
              <w:t>31.6</w:t>
            </w:r>
          </w:p>
        </w:tc>
      </w:tr>
      <w:tr w14:paraId="1E752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83557E1">
            <w:pPr>
              <w:keepNext w:val="0"/>
              <w:keepLines w:val="0"/>
              <w:widowControl/>
              <w:suppressLineNumbers w:val="0"/>
              <w:spacing w:before="0" w:beforeAutospacing="0" w:after="0" w:afterAutospacing="0"/>
              <w:ind w:left="0" w:right="0"/>
              <w:jc w:val="center"/>
              <w:textAlignment w:val="top"/>
              <w:rPr>
                <w:bCs/>
                <w:szCs w:val="21"/>
              </w:rPr>
            </w:pPr>
            <w:r>
              <w:rPr>
                <w:bCs/>
                <w:szCs w:val="21"/>
              </w:rPr>
              <w:t>10</w:t>
            </w:r>
          </w:p>
        </w:tc>
        <w:tc>
          <w:tcPr>
            <w:tcW w:w="2839" w:type="dxa"/>
            <w:tcBorders>
              <w:tl2br w:val="nil"/>
              <w:tr2bl w:val="nil"/>
            </w:tcBorders>
          </w:tcPr>
          <w:p w14:paraId="46CE6324">
            <w:pPr>
              <w:keepNext w:val="0"/>
              <w:keepLines w:val="0"/>
              <w:widowControl/>
              <w:suppressLineNumbers w:val="0"/>
              <w:spacing w:before="0" w:beforeAutospacing="0" w:after="0" w:afterAutospacing="0"/>
              <w:ind w:left="0" w:right="0"/>
              <w:jc w:val="center"/>
              <w:textAlignment w:val="top"/>
              <w:rPr>
                <w:bCs/>
                <w:szCs w:val="21"/>
              </w:rPr>
            </w:pPr>
            <w:r>
              <w:rPr>
                <w:bCs/>
                <w:szCs w:val="21"/>
              </w:rPr>
              <w:t>4.898</w:t>
            </w:r>
          </w:p>
        </w:tc>
        <w:tc>
          <w:tcPr>
            <w:tcW w:w="2841" w:type="dxa"/>
            <w:tcBorders>
              <w:tl2br w:val="nil"/>
              <w:tr2bl w:val="nil"/>
            </w:tcBorders>
          </w:tcPr>
          <w:p w14:paraId="5FD415A1">
            <w:pPr>
              <w:keepNext w:val="0"/>
              <w:keepLines w:val="0"/>
              <w:widowControl/>
              <w:suppressLineNumbers w:val="0"/>
              <w:spacing w:before="0" w:beforeAutospacing="0" w:after="0" w:afterAutospacing="0"/>
              <w:ind w:left="0" w:right="0"/>
              <w:jc w:val="center"/>
              <w:textAlignment w:val="top"/>
              <w:rPr>
                <w:bCs/>
                <w:szCs w:val="21"/>
              </w:rPr>
            </w:pPr>
            <w:r>
              <w:rPr>
                <w:bCs/>
                <w:szCs w:val="21"/>
              </w:rPr>
              <w:t>29.86</w:t>
            </w:r>
          </w:p>
        </w:tc>
      </w:tr>
      <w:tr w14:paraId="11A67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2A699B9">
            <w:pPr>
              <w:keepNext w:val="0"/>
              <w:keepLines w:val="0"/>
              <w:widowControl/>
              <w:suppressLineNumbers w:val="0"/>
              <w:spacing w:before="0" w:beforeAutospacing="0" w:after="0" w:afterAutospacing="0"/>
              <w:ind w:left="0" w:right="0"/>
              <w:jc w:val="center"/>
              <w:textAlignment w:val="top"/>
              <w:rPr>
                <w:bCs/>
                <w:szCs w:val="21"/>
              </w:rPr>
            </w:pPr>
            <w:r>
              <w:rPr>
                <w:bCs/>
                <w:szCs w:val="21"/>
              </w:rPr>
              <w:t>11</w:t>
            </w:r>
          </w:p>
        </w:tc>
        <w:tc>
          <w:tcPr>
            <w:tcW w:w="2839" w:type="dxa"/>
            <w:tcBorders>
              <w:tl2br w:val="nil"/>
              <w:tr2bl w:val="nil"/>
            </w:tcBorders>
          </w:tcPr>
          <w:p w14:paraId="7C10208D">
            <w:pPr>
              <w:keepNext w:val="0"/>
              <w:keepLines w:val="0"/>
              <w:widowControl/>
              <w:suppressLineNumbers w:val="0"/>
              <w:spacing w:before="0" w:beforeAutospacing="0" w:after="0" w:afterAutospacing="0"/>
              <w:ind w:left="0" w:right="0"/>
              <w:jc w:val="center"/>
              <w:textAlignment w:val="top"/>
              <w:rPr>
                <w:bCs/>
                <w:szCs w:val="21"/>
              </w:rPr>
            </w:pPr>
            <w:r>
              <w:rPr>
                <w:bCs/>
                <w:szCs w:val="21"/>
              </w:rPr>
              <w:t>3.971</w:t>
            </w:r>
          </w:p>
        </w:tc>
        <w:tc>
          <w:tcPr>
            <w:tcW w:w="2841" w:type="dxa"/>
            <w:tcBorders>
              <w:tl2br w:val="nil"/>
              <w:tr2bl w:val="nil"/>
            </w:tcBorders>
          </w:tcPr>
          <w:p w14:paraId="50F6B0D1">
            <w:pPr>
              <w:keepNext w:val="0"/>
              <w:keepLines w:val="0"/>
              <w:widowControl/>
              <w:suppressLineNumbers w:val="0"/>
              <w:spacing w:before="0" w:beforeAutospacing="0" w:after="0" w:afterAutospacing="0"/>
              <w:ind w:left="0" w:right="0"/>
              <w:jc w:val="center"/>
              <w:textAlignment w:val="top"/>
              <w:rPr>
                <w:bCs/>
                <w:szCs w:val="21"/>
              </w:rPr>
            </w:pPr>
            <w:r>
              <w:rPr>
                <w:bCs/>
                <w:szCs w:val="21"/>
              </w:rPr>
              <w:t>27.63</w:t>
            </w:r>
          </w:p>
        </w:tc>
      </w:tr>
      <w:tr w14:paraId="6EA6A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E770D22">
            <w:pPr>
              <w:keepNext w:val="0"/>
              <w:keepLines w:val="0"/>
              <w:widowControl/>
              <w:suppressLineNumbers w:val="0"/>
              <w:spacing w:before="0" w:beforeAutospacing="0" w:after="0" w:afterAutospacing="0"/>
              <w:ind w:left="0" w:right="0"/>
              <w:jc w:val="center"/>
              <w:textAlignment w:val="top"/>
              <w:rPr>
                <w:bCs/>
                <w:szCs w:val="21"/>
              </w:rPr>
            </w:pPr>
            <w:r>
              <w:rPr>
                <w:bCs/>
                <w:szCs w:val="21"/>
              </w:rPr>
              <w:t>12</w:t>
            </w:r>
          </w:p>
        </w:tc>
        <w:tc>
          <w:tcPr>
            <w:tcW w:w="2839" w:type="dxa"/>
            <w:tcBorders>
              <w:tl2br w:val="nil"/>
              <w:tr2bl w:val="nil"/>
            </w:tcBorders>
          </w:tcPr>
          <w:p w14:paraId="1098A5AF">
            <w:pPr>
              <w:keepNext w:val="0"/>
              <w:keepLines w:val="0"/>
              <w:widowControl/>
              <w:suppressLineNumbers w:val="0"/>
              <w:spacing w:before="0" w:beforeAutospacing="0" w:after="0" w:afterAutospacing="0"/>
              <w:ind w:left="0" w:right="0"/>
              <w:jc w:val="center"/>
              <w:textAlignment w:val="top"/>
              <w:rPr>
                <w:bCs/>
                <w:szCs w:val="21"/>
              </w:rPr>
            </w:pPr>
            <w:r>
              <w:rPr>
                <w:bCs/>
                <w:szCs w:val="21"/>
              </w:rPr>
              <w:t>3.141</w:t>
            </w:r>
          </w:p>
        </w:tc>
        <w:tc>
          <w:tcPr>
            <w:tcW w:w="2841" w:type="dxa"/>
            <w:tcBorders>
              <w:tl2br w:val="nil"/>
              <w:tr2bl w:val="nil"/>
            </w:tcBorders>
          </w:tcPr>
          <w:p w14:paraId="086471C0">
            <w:pPr>
              <w:keepNext w:val="0"/>
              <w:keepLines w:val="0"/>
              <w:widowControl/>
              <w:suppressLineNumbers w:val="0"/>
              <w:spacing w:before="0" w:beforeAutospacing="0" w:after="0" w:afterAutospacing="0"/>
              <w:ind w:left="0" w:right="0"/>
              <w:jc w:val="center"/>
              <w:textAlignment w:val="top"/>
              <w:rPr>
                <w:bCs/>
                <w:szCs w:val="21"/>
              </w:rPr>
            </w:pPr>
            <w:r>
              <w:rPr>
                <w:bCs/>
                <w:szCs w:val="21"/>
              </w:rPr>
              <w:t>25.28</w:t>
            </w:r>
          </w:p>
        </w:tc>
      </w:tr>
      <w:tr w14:paraId="44505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D634C1F">
            <w:pPr>
              <w:keepNext w:val="0"/>
              <w:keepLines w:val="0"/>
              <w:widowControl/>
              <w:suppressLineNumbers w:val="0"/>
              <w:spacing w:before="0" w:beforeAutospacing="0" w:after="0" w:afterAutospacing="0"/>
              <w:ind w:left="0" w:right="0"/>
              <w:jc w:val="center"/>
              <w:textAlignment w:val="top"/>
              <w:rPr>
                <w:bCs/>
                <w:szCs w:val="21"/>
              </w:rPr>
            </w:pPr>
            <w:r>
              <w:rPr>
                <w:bCs/>
                <w:szCs w:val="21"/>
              </w:rPr>
              <w:t>13</w:t>
            </w:r>
          </w:p>
        </w:tc>
        <w:tc>
          <w:tcPr>
            <w:tcW w:w="2839" w:type="dxa"/>
            <w:tcBorders>
              <w:tl2br w:val="nil"/>
              <w:tr2bl w:val="nil"/>
            </w:tcBorders>
          </w:tcPr>
          <w:p w14:paraId="32473273">
            <w:pPr>
              <w:keepNext w:val="0"/>
              <w:keepLines w:val="0"/>
              <w:widowControl/>
              <w:suppressLineNumbers w:val="0"/>
              <w:spacing w:before="0" w:beforeAutospacing="0" w:after="0" w:afterAutospacing="0"/>
              <w:ind w:left="0" w:right="0"/>
              <w:jc w:val="center"/>
              <w:textAlignment w:val="top"/>
              <w:rPr>
                <w:bCs/>
                <w:szCs w:val="21"/>
              </w:rPr>
            </w:pPr>
            <w:r>
              <w:rPr>
                <w:bCs/>
                <w:szCs w:val="21"/>
              </w:rPr>
              <w:t>2.445</w:t>
            </w:r>
          </w:p>
        </w:tc>
        <w:tc>
          <w:tcPr>
            <w:tcW w:w="2841" w:type="dxa"/>
            <w:tcBorders>
              <w:tl2br w:val="nil"/>
              <w:tr2bl w:val="nil"/>
            </w:tcBorders>
          </w:tcPr>
          <w:p w14:paraId="37E88A3E">
            <w:pPr>
              <w:keepNext w:val="0"/>
              <w:keepLines w:val="0"/>
              <w:widowControl/>
              <w:suppressLineNumbers w:val="0"/>
              <w:spacing w:before="0" w:beforeAutospacing="0" w:after="0" w:afterAutospacing="0"/>
              <w:ind w:left="0" w:right="0"/>
              <w:jc w:val="center"/>
              <w:textAlignment w:val="top"/>
              <w:rPr>
                <w:bCs/>
                <w:szCs w:val="21"/>
              </w:rPr>
            </w:pPr>
            <w:r>
              <w:rPr>
                <w:bCs/>
                <w:szCs w:val="21"/>
              </w:rPr>
              <w:t>23</w:t>
            </w:r>
          </w:p>
        </w:tc>
      </w:tr>
      <w:tr w14:paraId="2C008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E9C6B87">
            <w:pPr>
              <w:keepNext w:val="0"/>
              <w:keepLines w:val="0"/>
              <w:widowControl/>
              <w:suppressLineNumbers w:val="0"/>
              <w:spacing w:before="0" w:beforeAutospacing="0" w:after="0" w:afterAutospacing="0"/>
              <w:ind w:left="0" w:right="0"/>
              <w:jc w:val="center"/>
              <w:textAlignment w:val="top"/>
              <w:rPr>
                <w:bCs/>
                <w:szCs w:val="21"/>
              </w:rPr>
            </w:pPr>
            <w:r>
              <w:rPr>
                <w:bCs/>
                <w:szCs w:val="21"/>
              </w:rPr>
              <w:t>14</w:t>
            </w:r>
          </w:p>
        </w:tc>
        <w:tc>
          <w:tcPr>
            <w:tcW w:w="2839" w:type="dxa"/>
            <w:tcBorders>
              <w:tl2br w:val="nil"/>
              <w:tr2bl w:val="nil"/>
            </w:tcBorders>
          </w:tcPr>
          <w:p w14:paraId="30D70B5C">
            <w:pPr>
              <w:keepNext w:val="0"/>
              <w:keepLines w:val="0"/>
              <w:widowControl/>
              <w:suppressLineNumbers w:val="0"/>
              <w:spacing w:before="0" w:beforeAutospacing="0" w:after="0" w:afterAutospacing="0"/>
              <w:ind w:left="0" w:right="0"/>
              <w:jc w:val="center"/>
              <w:textAlignment w:val="top"/>
              <w:rPr>
                <w:bCs/>
                <w:szCs w:val="21"/>
              </w:rPr>
            </w:pPr>
            <w:r>
              <w:rPr>
                <w:bCs/>
                <w:szCs w:val="21"/>
              </w:rPr>
              <w:t>1.886</w:t>
            </w:r>
          </w:p>
        </w:tc>
        <w:tc>
          <w:tcPr>
            <w:tcW w:w="2841" w:type="dxa"/>
            <w:tcBorders>
              <w:tl2br w:val="nil"/>
              <w:tr2bl w:val="nil"/>
            </w:tcBorders>
          </w:tcPr>
          <w:p w14:paraId="1098D83B">
            <w:pPr>
              <w:keepNext w:val="0"/>
              <w:keepLines w:val="0"/>
              <w:widowControl/>
              <w:suppressLineNumbers w:val="0"/>
              <w:spacing w:before="0" w:beforeAutospacing="0" w:after="0" w:afterAutospacing="0"/>
              <w:ind w:left="0" w:right="0"/>
              <w:jc w:val="center"/>
              <w:textAlignment w:val="top"/>
              <w:rPr>
                <w:bCs/>
                <w:szCs w:val="21"/>
              </w:rPr>
            </w:pPr>
            <w:r>
              <w:rPr>
                <w:bCs/>
                <w:szCs w:val="21"/>
              </w:rPr>
              <w:t>20.89</w:t>
            </w:r>
          </w:p>
        </w:tc>
      </w:tr>
      <w:tr w14:paraId="1A2B8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2A01388">
            <w:pPr>
              <w:keepNext w:val="0"/>
              <w:keepLines w:val="0"/>
              <w:widowControl/>
              <w:suppressLineNumbers w:val="0"/>
              <w:spacing w:before="0" w:beforeAutospacing="0" w:after="0" w:afterAutospacing="0"/>
              <w:ind w:left="0" w:right="0"/>
              <w:jc w:val="center"/>
              <w:textAlignment w:val="top"/>
              <w:rPr>
                <w:bCs/>
                <w:szCs w:val="21"/>
              </w:rPr>
            </w:pPr>
            <w:r>
              <w:rPr>
                <w:bCs/>
                <w:szCs w:val="21"/>
              </w:rPr>
              <w:t>15</w:t>
            </w:r>
          </w:p>
        </w:tc>
        <w:tc>
          <w:tcPr>
            <w:tcW w:w="2839" w:type="dxa"/>
            <w:tcBorders>
              <w:tl2br w:val="nil"/>
              <w:tr2bl w:val="nil"/>
            </w:tcBorders>
          </w:tcPr>
          <w:p w14:paraId="1BE5A04C">
            <w:pPr>
              <w:keepNext w:val="0"/>
              <w:keepLines w:val="0"/>
              <w:widowControl/>
              <w:suppressLineNumbers w:val="0"/>
              <w:spacing w:before="0" w:beforeAutospacing="0" w:after="0" w:afterAutospacing="0"/>
              <w:ind w:left="0" w:right="0"/>
              <w:jc w:val="center"/>
              <w:textAlignment w:val="top"/>
              <w:rPr>
                <w:bCs/>
                <w:szCs w:val="21"/>
              </w:rPr>
            </w:pPr>
            <w:r>
              <w:rPr>
                <w:bCs/>
                <w:szCs w:val="21"/>
              </w:rPr>
              <w:t>1.45</w:t>
            </w:r>
          </w:p>
        </w:tc>
        <w:tc>
          <w:tcPr>
            <w:tcW w:w="2841" w:type="dxa"/>
            <w:tcBorders>
              <w:tl2br w:val="nil"/>
              <w:tr2bl w:val="nil"/>
            </w:tcBorders>
          </w:tcPr>
          <w:p w14:paraId="3D8C55B5">
            <w:pPr>
              <w:keepNext w:val="0"/>
              <w:keepLines w:val="0"/>
              <w:widowControl/>
              <w:suppressLineNumbers w:val="0"/>
              <w:spacing w:before="0" w:beforeAutospacing="0" w:after="0" w:afterAutospacing="0"/>
              <w:ind w:left="0" w:right="0"/>
              <w:jc w:val="center"/>
              <w:textAlignment w:val="top"/>
              <w:rPr>
                <w:bCs/>
                <w:szCs w:val="21"/>
              </w:rPr>
            </w:pPr>
            <w:r>
              <w:rPr>
                <w:bCs/>
                <w:szCs w:val="21"/>
              </w:rPr>
              <w:t>18.99</w:t>
            </w:r>
          </w:p>
        </w:tc>
      </w:tr>
      <w:tr w14:paraId="636A3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1CA8485">
            <w:pPr>
              <w:keepNext w:val="0"/>
              <w:keepLines w:val="0"/>
              <w:widowControl/>
              <w:suppressLineNumbers w:val="0"/>
              <w:spacing w:before="0" w:beforeAutospacing="0" w:after="0" w:afterAutospacing="0"/>
              <w:ind w:left="0" w:right="0"/>
              <w:jc w:val="center"/>
              <w:textAlignment w:val="top"/>
              <w:rPr>
                <w:bCs/>
                <w:szCs w:val="21"/>
              </w:rPr>
            </w:pPr>
            <w:r>
              <w:rPr>
                <w:bCs/>
                <w:szCs w:val="21"/>
              </w:rPr>
              <w:t>16</w:t>
            </w:r>
          </w:p>
        </w:tc>
        <w:tc>
          <w:tcPr>
            <w:tcW w:w="2839" w:type="dxa"/>
            <w:tcBorders>
              <w:tl2br w:val="nil"/>
              <w:tr2bl w:val="nil"/>
            </w:tcBorders>
          </w:tcPr>
          <w:p w14:paraId="1CDAB036">
            <w:pPr>
              <w:keepNext w:val="0"/>
              <w:keepLines w:val="0"/>
              <w:widowControl/>
              <w:suppressLineNumbers w:val="0"/>
              <w:spacing w:before="0" w:beforeAutospacing="0" w:after="0" w:afterAutospacing="0"/>
              <w:ind w:left="0" w:right="0"/>
              <w:jc w:val="center"/>
              <w:textAlignment w:val="top"/>
              <w:rPr>
                <w:bCs/>
                <w:szCs w:val="21"/>
              </w:rPr>
            </w:pPr>
            <w:r>
              <w:rPr>
                <w:bCs/>
                <w:szCs w:val="21"/>
              </w:rPr>
              <w:t>1.116</w:t>
            </w:r>
          </w:p>
        </w:tc>
        <w:tc>
          <w:tcPr>
            <w:tcW w:w="2841" w:type="dxa"/>
            <w:tcBorders>
              <w:tl2br w:val="nil"/>
              <w:tr2bl w:val="nil"/>
            </w:tcBorders>
          </w:tcPr>
          <w:p w14:paraId="15F9DF0B">
            <w:pPr>
              <w:keepNext w:val="0"/>
              <w:keepLines w:val="0"/>
              <w:widowControl/>
              <w:suppressLineNumbers w:val="0"/>
              <w:spacing w:before="0" w:beforeAutospacing="0" w:after="0" w:afterAutospacing="0"/>
              <w:ind w:left="0" w:right="0"/>
              <w:jc w:val="center"/>
              <w:textAlignment w:val="top"/>
              <w:rPr>
                <w:bCs/>
                <w:szCs w:val="21"/>
              </w:rPr>
            </w:pPr>
            <w:r>
              <w:rPr>
                <w:bCs/>
                <w:szCs w:val="21"/>
              </w:rPr>
              <w:t>17.28</w:t>
            </w:r>
          </w:p>
        </w:tc>
      </w:tr>
      <w:tr w14:paraId="528C4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FD045DC">
            <w:pPr>
              <w:keepNext w:val="0"/>
              <w:keepLines w:val="0"/>
              <w:widowControl/>
              <w:suppressLineNumbers w:val="0"/>
              <w:spacing w:before="0" w:beforeAutospacing="0" w:after="0" w:afterAutospacing="0"/>
              <w:ind w:left="0" w:right="0"/>
              <w:jc w:val="center"/>
              <w:textAlignment w:val="top"/>
              <w:rPr>
                <w:bCs/>
                <w:szCs w:val="21"/>
              </w:rPr>
            </w:pPr>
            <w:r>
              <w:rPr>
                <w:bCs/>
                <w:szCs w:val="21"/>
              </w:rPr>
              <w:t>17</w:t>
            </w:r>
          </w:p>
        </w:tc>
        <w:tc>
          <w:tcPr>
            <w:tcW w:w="2839" w:type="dxa"/>
            <w:tcBorders>
              <w:tl2br w:val="nil"/>
              <w:tr2bl w:val="nil"/>
            </w:tcBorders>
          </w:tcPr>
          <w:p w14:paraId="59B20167">
            <w:pPr>
              <w:keepNext w:val="0"/>
              <w:keepLines w:val="0"/>
              <w:widowControl/>
              <w:suppressLineNumbers w:val="0"/>
              <w:spacing w:before="0" w:beforeAutospacing="0" w:after="0" w:afterAutospacing="0"/>
              <w:ind w:left="0" w:right="0"/>
              <w:jc w:val="center"/>
              <w:textAlignment w:val="top"/>
              <w:rPr>
                <w:bCs/>
                <w:szCs w:val="21"/>
              </w:rPr>
            </w:pPr>
            <w:r>
              <w:rPr>
                <w:bCs/>
                <w:szCs w:val="21"/>
              </w:rPr>
              <w:t>0.865</w:t>
            </w:r>
          </w:p>
        </w:tc>
        <w:tc>
          <w:tcPr>
            <w:tcW w:w="2841" w:type="dxa"/>
            <w:tcBorders>
              <w:tl2br w:val="nil"/>
              <w:tr2bl w:val="nil"/>
            </w:tcBorders>
          </w:tcPr>
          <w:p w14:paraId="1A67CF66">
            <w:pPr>
              <w:keepNext w:val="0"/>
              <w:keepLines w:val="0"/>
              <w:widowControl/>
              <w:suppressLineNumbers w:val="0"/>
              <w:spacing w:before="0" w:beforeAutospacing="0" w:after="0" w:afterAutospacing="0"/>
              <w:ind w:left="0" w:right="0"/>
              <w:jc w:val="center"/>
              <w:textAlignment w:val="top"/>
              <w:rPr>
                <w:bCs/>
                <w:szCs w:val="21"/>
              </w:rPr>
            </w:pPr>
            <w:r>
              <w:rPr>
                <w:bCs/>
                <w:szCs w:val="21"/>
              </w:rPr>
              <w:t>15.76</w:t>
            </w:r>
          </w:p>
        </w:tc>
      </w:tr>
      <w:tr w14:paraId="4EA2F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29C74F4">
            <w:pPr>
              <w:keepNext w:val="0"/>
              <w:keepLines w:val="0"/>
              <w:widowControl/>
              <w:suppressLineNumbers w:val="0"/>
              <w:spacing w:before="0" w:beforeAutospacing="0" w:after="0" w:afterAutospacing="0"/>
              <w:ind w:left="0" w:right="0"/>
              <w:jc w:val="center"/>
              <w:textAlignment w:val="top"/>
              <w:rPr>
                <w:bCs/>
                <w:szCs w:val="21"/>
              </w:rPr>
            </w:pPr>
            <w:r>
              <w:rPr>
                <w:bCs/>
                <w:szCs w:val="21"/>
              </w:rPr>
              <w:t>18</w:t>
            </w:r>
          </w:p>
        </w:tc>
        <w:tc>
          <w:tcPr>
            <w:tcW w:w="2839" w:type="dxa"/>
            <w:tcBorders>
              <w:tl2br w:val="nil"/>
              <w:tr2bl w:val="nil"/>
            </w:tcBorders>
          </w:tcPr>
          <w:p w14:paraId="4772FCE0">
            <w:pPr>
              <w:keepNext w:val="0"/>
              <w:keepLines w:val="0"/>
              <w:widowControl/>
              <w:suppressLineNumbers w:val="0"/>
              <w:spacing w:before="0" w:beforeAutospacing="0" w:after="0" w:afterAutospacing="0"/>
              <w:ind w:left="0" w:right="0"/>
              <w:jc w:val="center"/>
              <w:textAlignment w:val="top"/>
              <w:rPr>
                <w:bCs/>
                <w:szCs w:val="21"/>
              </w:rPr>
            </w:pPr>
            <w:r>
              <w:rPr>
                <w:bCs/>
                <w:szCs w:val="21"/>
              </w:rPr>
              <w:t>0.68</w:t>
            </w:r>
          </w:p>
        </w:tc>
        <w:tc>
          <w:tcPr>
            <w:tcW w:w="2841" w:type="dxa"/>
            <w:tcBorders>
              <w:tl2br w:val="nil"/>
              <w:tr2bl w:val="nil"/>
            </w:tcBorders>
          </w:tcPr>
          <w:p w14:paraId="7CF6FA7E">
            <w:pPr>
              <w:keepNext w:val="0"/>
              <w:keepLines w:val="0"/>
              <w:widowControl/>
              <w:suppressLineNumbers w:val="0"/>
              <w:spacing w:before="0" w:beforeAutospacing="0" w:after="0" w:afterAutospacing="0"/>
              <w:ind w:left="0" w:right="0"/>
              <w:jc w:val="center"/>
              <w:textAlignment w:val="top"/>
              <w:rPr>
                <w:bCs/>
                <w:szCs w:val="21"/>
              </w:rPr>
            </w:pPr>
            <w:r>
              <w:rPr>
                <w:bCs/>
                <w:szCs w:val="21"/>
              </w:rPr>
              <w:t>14.41</w:t>
            </w:r>
          </w:p>
        </w:tc>
      </w:tr>
      <w:tr w14:paraId="1EA32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6B5D4E2">
            <w:pPr>
              <w:keepNext w:val="0"/>
              <w:keepLines w:val="0"/>
              <w:widowControl/>
              <w:suppressLineNumbers w:val="0"/>
              <w:spacing w:before="0" w:beforeAutospacing="0" w:after="0" w:afterAutospacing="0"/>
              <w:ind w:left="0" w:right="0"/>
              <w:jc w:val="center"/>
              <w:textAlignment w:val="top"/>
              <w:rPr>
                <w:bCs/>
                <w:szCs w:val="21"/>
              </w:rPr>
            </w:pPr>
            <w:r>
              <w:rPr>
                <w:bCs/>
                <w:szCs w:val="21"/>
              </w:rPr>
              <w:t>19</w:t>
            </w:r>
          </w:p>
        </w:tc>
        <w:tc>
          <w:tcPr>
            <w:tcW w:w="2839" w:type="dxa"/>
            <w:tcBorders>
              <w:tl2br w:val="nil"/>
              <w:tr2bl w:val="nil"/>
            </w:tcBorders>
          </w:tcPr>
          <w:p w14:paraId="08F514C5">
            <w:pPr>
              <w:keepNext w:val="0"/>
              <w:keepLines w:val="0"/>
              <w:widowControl/>
              <w:suppressLineNumbers w:val="0"/>
              <w:spacing w:before="0" w:beforeAutospacing="0" w:after="0" w:afterAutospacing="0"/>
              <w:ind w:left="0" w:right="0"/>
              <w:jc w:val="center"/>
              <w:textAlignment w:val="top"/>
              <w:rPr>
                <w:bCs/>
                <w:szCs w:val="21"/>
              </w:rPr>
            </w:pPr>
            <w:r>
              <w:rPr>
                <w:bCs/>
                <w:szCs w:val="21"/>
              </w:rPr>
              <w:t>0.548</w:t>
            </w:r>
          </w:p>
        </w:tc>
        <w:tc>
          <w:tcPr>
            <w:tcW w:w="2841" w:type="dxa"/>
            <w:tcBorders>
              <w:tl2br w:val="nil"/>
              <w:tr2bl w:val="nil"/>
            </w:tcBorders>
          </w:tcPr>
          <w:p w14:paraId="0AEECEEE">
            <w:pPr>
              <w:keepNext w:val="0"/>
              <w:keepLines w:val="0"/>
              <w:widowControl/>
              <w:suppressLineNumbers w:val="0"/>
              <w:spacing w:before="0" w:beforeAutospacing="0" w:after="0" w:afterAutospacing="0"/>
              <w:ind w:left="0" w:right="0"/>
              <w:jc w:val="center"/>
              <w:textAlignment w:val="top"/>
              <w:rPr>
                <w:bCs/>
                <w:szCs w:val="21"/>
              </w:rPr>
            </w:pPr>
            <w:r>
              <w:rPr>
                <w:bCs/>
                <w:szCs w:val="21"/>
              </w:rPr>
              <w:t>13.22</w:t>
            </w:r>
          </w:p>
        </w:tc>
      </w:tr>
      <w:tr w14:paraId="5CB66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C740BF9">
            <w:pPr>
              <w:keepNext w:val="0"/>
              <w:keepLines w:val="0"/>
              <w:widowControl/>
              <w:suppressLineNumbers w:val="0"/>
              <w:spacing w:before="0" w:beforeAutospacing="0" w:after="0" w:afterAutospacing="0"/>
              <w:ind w:left="0" w:right="0"/>
              <w:jc w:val="center"/>
              <w:textAlignment w:val="top"/>
              <w:rPr>
                <w:bCs/>
                <w:szCs w:val="21"/>
              </w:rPr>
            </w:pPr>
            <w:r>
              <w:rPr>
                <w:bCs/>
                <w:szCs w:val="21"/>
              </w:rPr>
              <w:t>20</w:t>
            </w:r>
          </w:p>
        </w:tc>
        <w:tc>
          <w:tcPr>
            <w:tcW w:w="2839" w:type="dxa"/>
            <w:tcBorders>
              <w:tl2br w:val="nil"/>
              <w:tr2bl w:val="nil"/>
            </w:tcBorders>
          </w:tcPr>
          <w:p w14:paraId="589EF771">
            <w:pPr>
              <w:keepNext w:val="0"/>
              <w:keepLines w:val="0"/>
              <w:widowControl/>
              <w:suppressLineNumbers w:val="0"/>
              <w:spacing w:before="0" w:beforeAutospacing="0" w:after="0" w:afterAutospacing="0"/>
              <w:ind w:left="0" w:right="0"/>
              <w:jc w:val="center"/>
              <w:textAlignment w:val="top"/>
              <w:rPr>
                <w:bCs/>
                <w:szCs w:val="21"/>
              </w:rPr>
            </w:pPr>
            <w:r>
              <w:rPr>
                <w:bCs/>
                <w:szCs w:val="21"/>
              </w:rPr>
              <w:t>0.457</w:t>
            </w:r>
          </w:p>
        </w:tc>
        <w:tc>
          <w:tcPr>
            <w:tcW w:w="2841" w:type="dxa"/>
            <w:tcBorders>
              <w:tl2br w:val="nil"/>
              <w:tr2bl w:val="nil"/>
            </w:tcBorders>
          </w:tcPr>
          <w:p w14:paraId="3B6F7618">
            <w:pPr>
              <w:keepNext w:val="0"/>
              <w:keepLines w:val="0"/>
              <w:widowControl/>
              <w:suppressLineNumbers w:val="0"/>
              <w:spacing w:before="0" w:beforeAutospacing="0" w:after="0" w:afterAutospacing="0"/>
              <w:ind w:left="0" w:right="0"/>
              <w:jc w:val="center"/>
              <w:textAlignment w:val="top"/>
              <w:rPr>
                <w:bCs/>
                <w:szCs w:val="21"/>
              </w:rPr>
            </w:pPr>
            <w:r>
              <w:rPr>
                <w:bCs/>
                <w:szCs w:val="21"/>
              </w:rPr>
              <w:t>12.15</w:t>
            </w:r>
          </w:p>
        </w:tc>
      </w:tr>
      <w:tr w14:paraId="7CFCB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61953C6">
            <w:pPr>
              <w:keepNext w:val="0"/>
              <w:keepLines w:val="0"/>
              <w:widowControl/>
              <w:suppressLineNumbers w:val="0"/>
              <w:spacing w:before="0" w:beforeAutospacing="0" w:after="0" w:afterAutospacing="0"/>
              <w:ind w:left="0" w:right="0"/>
              <w:jc w:val="center"/>
              <w:textAlignment w:val="top"/>
              <w:rPr>
                <w:bCs/>
                <w:szCs w:val="21"/>
              </w:rPr>
            </w:pPr>
            <w:r>
              <w:rPr>
                <w:bCs/>
                <w:szCs w:val="21"/>
              </w:rPr>
              <w:t>21</w:t>
            </w:r>
          </w:p>
        </w:tc>
        <w:tc>
          <w:tcPr>
            <w:tcW w:w="2839" w:type="dxa"/>
            <w:tcBorders>
              <w:tl2br w:val="nil"/>
              <w:tr2bl w:val="nil"/>
            </w:tcBorders>
          </w:tcPr>
          <w:p w14:paraId="2890466D">
            <w:pPr>
              <w:keepNext w:val="0"/>
              <w:keepLines w:val="0"/>
              <w:widowControl/>
              <w:suppressLineNumbers w:val="0"/>
              <w:spacing w:before="0" w:beforeAutospacing="0" w:after="0" w:afterAutospacing="0"/>
              <w:ind w:left="0" w:right="0"/>
              <w:jc w:val="center"/>
              <w:textAlignment w:val="top"/>
              <w:rPr>
                <w:bCs/>
                <w:szCs w:val="21"/>
              </w:rPr>
            </w:pPr>
            <w:r>
              <w:rPr>
                <w:bCs/>
                <w:szCs w:val="21"/>
              </w:rPr>
              <w:t>0.398</w:t>
            </w:r>
          </w:p>
        </w:tc>
        <w:tc>
          <w:tcPr>
            <w:tcW w:w="2841" w:type="dxa"/>
            <w:tcBorders>
              <w:tl2br w:val="nil"/>
              <w:tr2bl w:val="nil"/>
            </w:tcBorders>
          </w:tcPr>
          <w:p w14:paraId="4076D734">
            <w:pPr>
              <w:keepNext w:val="0"/>
              <w:keepLines w:val="0"/>
              <w:widowControl/>
              <w:suppressLineNumbers w:val="0"/>
              <w:spacing w:before="0" w:beforeAutospacing="0" w:after="0" w:afterAutospacing="0"/>
              <w:ind w:left="0" w:right="0"/>
              <w:jc w:val="center"/>
              <w:textAlignment w:val="top"/>
              <w:rPr>
                <w:bCs/>
                <w:szCs w:val="21"/>
              </w:rPr>
            </w:pPr>
            <w:r>
              <w:rPr>
                <w:bCs/>
                <w:szCs w:val="21"/>
              </w:rPr>
              <w:t>11.2</w:t>
            </w:r>
          </w:p>
        </w:tc>
      </w:tr>
      <w:tr w14:paraId="24DFB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D26B4FD">
            <w:pPr>
              <w:keepNext w:val="0"/>
              <w:keepLines w:val="0"/>
              <w:widowControl/>
              <w:suppressLineNumbers w:val="0"/>
              <w:spacing w:before="0" w:beforeAutospacing="0" w:after="0" w:afterAutospacing="0"/>
              <w:ind w:left="0" w:right="0"/>
              <w:jc w:val="center"/>
              <w:textAlignment w:val="top"/>
              <w:rPr>
                <w:bCs/>
                <w:szCs w:val="21"/>
              </w:rPr>
            </w:pPr>
            <w:r>
              <w:rPr>
                <w:bCs/>
                <w:szCs w:val="21"/>
              </w:rPr>
              <w:t>22</w:t>
            </w:r>
          </w:p>
        </w:tc>
        <w:tc>
          <w:tcPr>
            <w:tcW w:w="2839" w:type="dxa"/>
            <w:tcBorders>
              <w:tl2br w:val="nil"/>
              <w:tr2bl w:val="nil"/>
            </w:tcBorders>
          </w:tcPr>
          <w:p w14:paraId="013F514A">
            <w:pPr>
              <w:keepNext w:val="0"/>
              <w:keepLines w:val="0"/>
              <w:widowControl/>
              <w:suppressLineNumbers w:val="0"/>
              <w:spacing w:before="0" w:beforeAutospacing="0" w:after="0" w:afterAutospacing="0"/>
              <w:ind w:left="0" w:right="0"/>
              <w:jc w:val="center"/>
              <w:textAlignment w:val="top"/>
              <w:rPr>
                <w:bCs/>
                <w:szCs w:val="21"/>
              </w:rPr>
            </w:pPr>
            <w:r>
              <w:rPr>
                <w:bCs/>
                <w:szCs w:val="21"/>
              </w:rPr>
              <w:t>0.361</w:t>
            </w:r>
          </w:p>
        </w:tc>
        <w:tc>
          <w:tcPr>
            <w:tcW w:w="2841" w:type="dxa"/>
            <w:tcBorders>
              <w:tl2br w:val="nil"/>
              <w:tr2bl w:val="nil"/>
            </w:tcBorders>
          </w:tcPr>
          <w:p w14:paraId="3C7632F2">
            <w:pPr>
              <w:keepNext w:val="0"/>
              <w:keepLines w:val="0"/>
              <w:widowControl/>
              <w:suppressLineNumbers w:val="0"/>
              <w:spacing w:before="0" w:beforeAutospacing="0" w:after="0" w:afterAutospacing="0"/>
              <w:ind w:left="0" w:right="0"/>
              <w:jc w:val="center"/>
              <w:textAlignment w:val="top"/>
              <w:rPr>
                <w:bCs/>
                <w:szCs w:val="21"/>
              </w:rPr>
            </w:pPr>
            <w:r>
              <w:rPr>
                <w:bCs/>
                <w:szCs w:val="21"/>
              </w:rPr>
              <w:t>10.35</w:t>
            </w:r>
          </w:p>
        </w:tc>
      </w:tr>
      <w:tr w14:paraId="276C1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749C960">
            <w:pPr>
              <w:keepNext w:val="0"/>
              <w:keepLines w:val="0"/>
              <w:widowControl/>
              <w:suppressLineNumbers w:val="0"/>
              <w:spacing w:before="0" w:beforeAutospacing="0" w:after="0" w:afterAutospacing="0"/>
              <w:ind w:left="0" w:right="0"/>
              <w:jc w:val="center"/>
              <w:textAlignment w:val="top"/>
              <w:rPr>
                <w:bCs/>
                <w:szCs w:val="21"/>
              </w:rPr>
            </w:pPr>
            <w:r>
              <w:rPr>
                <w:bCs/>
                <w:szCs w:val="21"/>
              </w:rPr>
              <w:t>23</w:t>
            </w:r>
          </w:p>
        </w:tc>
        <w:tc>
          <w:tcPr>
            <w:tcW w:w="2839" w:type="dxa"/>
            <w:tcBorders>
              <w:tl2br w:val="nil"/>
              <w:tr2bl w:val="nil"/>
            </w:tcBorders>
          </w:tcPr>
          <w:p w14:paraId="38824C80">
            <w:pPr>
              <w:keepNext w:val="0"/>
              <w:keepLines w:val="0"/>
              <w:widowControl/>
              <w:suppressLineNumbers w:val="0"/>
              <w:spacing w:before="0" w:beforeAutospacing="0" w:after="0" w:afterAutospacing="0"/>
              <w:ind w:left="0" w:right="0"/>
              <w:jc w:val="center"/>
              <w:textAlignment w:val="top"/>
              <w:rPr>
                <w:bCs/>
                <w:szCs w:val="21"/>
              </w:rPr>
            </w:pPr>
            <w:r>
              <w:rPr>
                <w:bCs/>
                <w:szCs w:val="21"/>
              </w:rPr>
              <w:t>0.34</w:t>
            </w:r>
          </w:p>
        </w:tc>
        <w:tc>
          <w:tcPr>
            <w:tcW w:w="2841" w:type="dxa"/>
            <w:tcBorders>
              <w:tl2br w:val="nil"/>
              <w:tr2bl w:val="nil"/>
            </w:tcBorders>
          </w:tcPr>
          <w:p w14:paraId="1F6D503F">
            <w:pPr>
              <w:keepNext w:val="0"/>
              <w:keepLines w:val="0"/>
              <w:widowControl/>
              <w:suppressLineNumbers w:val="0"/>
              <w:spacing w:before="0" w:beforeAutospacing="0" w:after="0" w:afterAutospacing="0"/>
              <w:ind w:left="0" w:right="0"/>
              <w:jc w:val="center"/>
              <w:textAlignment w:val="top"/>
              <w:rPr>
                <w:bCs/>
                <w:szCs w:val="21"/>
              </w:rPr>
            </w:pPr>
            <w:r>
              <w:rPr>
                <w:bCs/>
                <w:szCs w:val="21"/>
              </w:rPr>
              <w:t>9.59</w:t>
            </w:r>
          </w:p>
        </w:tc>
      </w:tr>
      <w:tr w14:paraId="07780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2F568F2">
            <w:pPr>
              <w:keepNext w:val="0"/>
              <w:keepLines w:val="0"/>
              <w:widowControl/>
              <w:suppressLineNumbers w:val="0"/>
              <w:spacing w:before="0" w:beforeAutospacing="0" w:after="0" w:afterAutospacing="0"/>
              <w:ind w:left="0" w:right="0"/>
              <w:jc w:val="center"/>
              <w:textAlignment w:val="top"/>
              <w:rPr>
                <w:bCs/>
                <w:szCs w:val="21"/>
              </w:rPr>
            </w:pPr>
            <w:r>
              <w:rPr>
                <w:bCs/>
                <w:szCs w:val="21"/>
              </w:rPr>
              <w:t>24</w:t>
            </w:r>
          </w:p>
        </w:tc>
        <w:tc>
          <w:tcPr>
            <w:tcW w:w="2839" w:type="dxa"/>
            <w:tcBorders>
              <w:tl2br w:val="nil"/>
              <w:tr2bl w:val="nil"/>
            </w:tcBorders>
          </w:tcPr>
          <w:p w14:paraId="2E803278">
            <w:pPr>
              <w:keepNext w:val="0"/>
              <w:keepLines w:val="0"/>
              <w:widowControl/>
              <w:suppressLineNumbers w:val="0"/>
              <w:spacing w:before="0" w:beforeAutospacing="0" w:after="0" w:afterAutospacing="0"/>
              <w:ind w:left="0" w:right="0"/>
              <w:jc w:val="center"/>
              <w:textAlignment w:val="top"/>
              <w:rPr>
                <w:bCs/>
                <w:szCs w:val="21"/>
              </w:rPr>
            </w:pPr>
            <w:r>
              <w:rPr>
                <w:bCs/>
                <w:szCs w:val="21"/>
              </w:rPr>
              <w:t>0.327</w:t>
            </w:r>
          </w:p>
        </w:tc>
        <w:tc>
          <w:tcPr>
            <w:tcW w:w="2841" w:type="dxa"/>
            <w:tcBorders>
              <w:tl2br w:val="nil"/>
              <w:tr2bl w:val="nil"/>
            </w:tcBorders>
          </w:tcPr>
          <w:p w14:paraId="2C6A13C5">
            <w:pPr>
              <w:keepNext w:val="0"/>
              <w:keepLines w:val="0"/>
              <w:widowControl/>
              <w:suppressLineNumbers w:val="0"/>
              <w:spacing w:before="0" w:beforeAutospacing="0" w:after="0" w:afterAutospacing="0"/>
              <w:ind w:left="0" w:right="0"/>
              <w:jc w:val="center"/>
              <w:textAlignment w:val="top"/>
              <w:rPr>
                <w:bCs/>
                <w:szCs w:val="21"/>
              </w:rPr>
            </w:pPr>
            <w:r>
              <w:rPr>
                <w:bCs/>
                <w:szCs w:val="21"/>
              </w:rPr>
              <w:t>8.9</w:t>
            </w:r>
          </w:p>
        </w:tc>
      </w:tr>
      <w:tr w14:paraId="1045C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23B1F30">
            <w:pPr>
              <w:keepNext w:val="0"/>
              <w:keepLines w:val="0"/>
              <w:widowControl/>
              <w:suppressLineNumbers w:val="0"/>
              <w:spacing w:before="0" w:beforeAutospacing="0" w:after="0" w:afterAutospacing="0"/>
              <w:ind w:left="0" w:right="0"/>
              <w:jc w:val="center"/>
              <w:textAlignment w:val="top"/>
              <w:rPr>
                <w:bCs/>
                <w:szCs w:val="21"/>
              </w:rPr>
            </w:pPr>
            <w:r>
              <w:rPr>
                <w:bCs/>
                <w:szCs w:val="21"/>
              </w:rPr>
              <w:t>25</w:t>
            </w:r>
          </w:p>
        </w:tc>
        <w:tc>
          <w:tcPr>
            <w:tcW w:w="2839" w:type="dxa"/>
            <w:tcBorders>
              <w:tl2br w:val="nil"/>
              <w:tr2bl w:val="nil"/>
            </w:tcBorders>
          </w:tcPr>
          <w:p w14:paraId="473C656B">
            <w:pPr>
              <w:keepNext w:val="0"/>
              <w:keepLines w:val="0"/>
              <w:widowControl/>
              <w:suppressLineNumbers w:val="0"/>
              <w:spacing w:before="0" w:beforeAutospacing="0" w:after="0" w:afterAutospacing="0"/>
              <w:ind w:left="0" w:right="0"/>
              <w:jc w:val="center"/>
              <w:textAlignment w:val="top"/>
              <w:rPr>
                <w:bCs/>
                <w:szCs w:val="21"/>
              </w:rPr>
            </w:pPr>
            <w:r>
              <w:rPr>
                <w:bCs/>
                <w:szCs w:val="21"/>
              </w:rPr>
              <w:t>0.32</w:t>
            </w:r>
          </w:p>
        </w:tc>
        <w:tc>
          <w:tcPr>
            <w:tcW w:w="2841" w:type="dxa"/>
            <w:tcBorders>
              <w:tl2br w:val="nil"/>
              <w:tr2bl w:val="nil"/>
            </w:tcBorders>
          </w:tcPr>
          <w:p w14:paraId="4E53C54E">
            <w:pPr>
              <w:keepNext w:val="0"/>
              <w:keepLines w:val="0"/>
              <w:widowControl/>
              <w:suppressLineNumbers w:val="0"/>
              <w:spacing w:before="0" w:beforeAutospacing="0" w:after="0" w:afterAutospacing="0"/>
              <w:ind w:left="0" w:right="0"/>
              <w:jc w:val="center"/>
              <w:textAlignment w:val="top"/>
              <w:rPr>
                <w:bCs/>
                <w:szCs w:val="21"/>
              </w:rPr>
            </w:pPr>
            <w:r>
              <w:rPr>
                <w:bCs/>
                <w:szCs w:val="21"/>
              </w:rPr>
              <w:t>8.28</w:t>
            </w:r>
          </w:p>
        </w:tc>
      </w:tr>
      <w:tr w14:paraId="03C73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540C699">
            <w:pPr>
              <w:keepNext w:val="0"/>
              <w:keepLines w:val="0"/>
              <w:widowControl/>
              <w:suppressLineNumbers w:val="0"/>
              <w:spacing w:before="0" w:beforeAutospacing="0" w:after="0" w:afterAutospacing="0"/>
              <w:ind w:left="0" w:right="0"/>
              <w:jc w:val="center"/>
              <w:textAlignment w:val="top"/>
              <w:rPr>
                <w:bCs/>
                <w:szCs w:val="21"/>
              </w:rPr>
            </w:pPr>
            <w:r>
              <w:rPr>
                <w:bCs/>
                <w:szCs w:val="21"/>
              </w:rPr>
              <w:t>26</w:t>
            </w:r>
          </w:p>
        </w:tc>
        <w:tc>
          <w:tcPr>
            <w:tcW w:w="2839" w:type="dxa"/>
            <w:tcBorders>
              <w:tl2br w:val="nil"/>
              <w:tr2bl w:val="nil"/>
            </w:tcBorders>
          </w:tcPr>
          <w:p w14:paraId="35E97B4E">
            <w:pPr>
              <w:keepNext w:val="0"/>
              <w:keepLines w:val="0"/>
              <w:widowControl/>
              <w:suppressLineNumbers w:val="0"/>
              <w:spacing w:before="0" w:beforeAutospacing="0" w:after="0" w:afterAutospacing="0"/>
              <w:ind w:left="0" w:right="0"/>
              <w:jc w:val="center"/>
              <w:textAlignment w:val="top"/>
              <w:rPr>
                <w:bCs/>
                <w:szCs w:val="21"/>
              </w:rPr>
            </w:pPr>
            <w:r>
              <w:rPr>
                <w:bCs/>
                <w:szCs w:val="21"/>
              </w:rPr>
              <w:t>0.315</w:t>
            </w:r>
          </w:p>
        </w:tc>
        <w:tc>
          <w:tcPr>
            <w:tcW w:w="2841" w:type="dxa"/>
            <w:tcBorders>
              <w:tl2br w:val="nil"/>
              <w:tr2bl w:val="nil"/>
            </w:tcBorders>
          </w:tcPr>
          <w:p w14:paraId="17B13246">
            <w:pPr>
              <w:keepNext w:val="0"/>
              <w:keepLines w:val="0"/>
              <w:widowControl/>
              <w:suppressLineNumbers w:val="0"/>
              <w:spacing w:before="0" w:beforeAutospacing="0" w:after="0" w:afterAutospacing="0"/>
              <w:ind w:left="0" w:right="0"/>
              <w:jc w:val="center"/>
              <w:textAlignment w:val="top"/>
              <w:rPr>
                <w:bCs/>
                <w:szCs w:val="21"/>
              </w:rPr>
            </w:pPr>
            <w:r>
              <w:rPr>
                <w:bCs/>
                <w:szCs w:val="21"/>
              </w:rPr>
              <w:t>7.73</w:t>
            </w:r>
          </w:p>
        </w:tc>
      </w:tr>
      <w:tr w14:paraId="5020E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7DFD01ED">
            <w:pPr>
              <w:keepNext w:val="0"/>
              <w:keepLines w:val="0"/>
              <w:widowControl/>
              <w:suppressLineNumbers w:val="0"/>
              <w:spacing w:before="0" w:beforeAutospacing="0" w:after="0" w:afterAutospacing="0"/>
              <w:ind w:left="0" w:right="0"/>
              <w:jc w:val="center"/>
              <w:textAlignment w:val="top"/>
              <w:rPr>
                <w:bCs/>
                <w:szCs w:val="21"/>
              </w:rPr>
            </w:pPr>
            <w:r>
              <w:rPr>
                <w:bCs/>
                <w:szCs w:val="21"/>
              </w:rPr>
              <w:t>27</w:t>
            </w:r>
          </w:p>
        </w:tc>
        <w:tc>
          <w:tcPr>
            <w:tcW w:w="2839" w:type="dxa"/>
            <w:tcBorders>
              <w:tl2br w:val="nil"/>
              <w:tr2bl w:val="nil"/>
            </w:tcBorders>
          </w:tcPr>
          <w:p w14:paraId="7E9AEA90">
            <w:pPr>
              <w:keepNext w:val="0"/>
              <w:keepLines w:val="0"/>
              <w:widowControl/>
              <w:suppressLineNumbers w:val="0"/>
              <w:spacing w:before="0" w:beforeAutospacing="0" w:after="0" w:afterAutospacing="0"/>
              <w:ind w:left="0" w:right="0"/>
              <w:jc w:val="center"/>
              <w:textAlignment w:val="top"/>
              <w:rPr>
                <w:bCs/>
                <w:szCs w:val="21"/>
              </w:rPr>
            </w:pPr>
            <w:r>
              <w:rPr>
                <w:bCs/>
                <w:szCs w:val="21"/>
              </w:rPr>
              <w:t>0.311</w:t>
            </w:r>
          </w:p>
        </w:tc>
        <w:tc>
          <w:tcPr>
            <w:tcW w:w="2841" w:type="dxa"/>
            <w:tcBorders>
              <w:tl2br w:val="nil"/>
              <w:tr2bl w:val="nil"/>
            </w:tcBorders>
          </w:tcPr>
          <w:p w14:paraId="336396B2">
            <w:pPr>
              <w:keepNext w:val="0"/>
              <w:keepLines w:val="0"/>
              <w:widowControl/>
              <w:suppressLineNumbers w:val="0"/>
              <w:spacing w:before="0" w:beforeAutospacing="0" w:after="0" w:afterAutospacing="0"/>
              <w:ind w:left="0" w:right="0"/>
              <w:jc w:val="center"/>
              <w:textAlignment w:val="top"/>
              <w:rPr>
                <w:bCs/>
                <w:szCs w:val="21"/>
              </w:rPr>
            </w:pPr>
            <w:r>
              <w:rPr>
                <w:bCs/>
                <w:szCs w:val="21"/>
              </w:rPr>
              <w:t>7.22</w:t>
            </w:r>
          </w:p>
        </w:tc>
      </w:tr>
      <w:tr w14:paraId="6BA1D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1E895F3">
            <w:pPr>
              <w:keepNext w:val="0"/>
              <w:keepLines w:val="0"/>
              <w:widowControl/>
              <w:suppressLineNumbers w:val="0"/>
              <w:spacing w:before="0" w:beforeAutospacing="0" w:after="0" w:afterAutospacing="0"/>
              <w:ind w:left="0" w:right="0"/>
              <w:jc w:val="center"/>
              <w:textAlignment w:val="top"/>
              <w:rPr>
                <w:bCs/>
                <w:szCs w:val="21"/>
              </w:rPr>
            </w:pPr>
            <w:r>
              <w:rPr>
                <w:bCs/>
                <w:szCs w:val="21"/>
              </w:rPr>
              <w:t>28</w:t>
            </w:r>
          </w:p>
        </w:tc>
        <w:tc>
          <w:tcPr>
            <w:tcW w:w="2839" w:type="dxa"/>
            <w:tcBorders>
              <w:tl2br w:val="nil"/>
              <w:tr2bl w:val="nil"/>
            </w:tcBorders>
          </w:tcPr>
          <w:p w14:paraId="2DA35960">
            <w:pPr>
              <w:keepNext w:val="0"/>
              <w:keepLines w:val="0"/>
              <w:widowControl/>
              <w:suppressLineNumbers w:val="0"/>
              <w:spacing w:before="0" w:beforeAutospacing="0" w:after="0" w:afterAutospacing="0"/>
              <w:ind w:left="0" w:right="0"/>
              <w:jc w:val="center"/>
              <w:textAlignment w:val="top"/>
              <w:rPr>
                <w:bCs/>
                <w:szCs w:val="21"/>
              </w:rPr>
            </w:pPr>
            <w:r>
              <w:rPr>
                <w:bCs/>
                <w:szCs w:val="21"/>
              </w:rPr>
              <w:t>0.307</w:t>
            </w:r>
          </w:p>
        </w:tc>
        <w:tc>
          <w:tcPr>
            <w:tcW w:w="2841" w:type="dxa"/>
            <w:tcBorders>
              <w:tl2br w:val="nil"/>
              <w:tr2bl w:val="nil"/>
            </w:tcBorders>
          </w:tcPr>
          <w:p w14:paraId="0B04CB3E">
            <w:pPr>
              <w:keepNext w:val="0"/>
              <w:keepLines w:val="0"/>
              <w:widowControl/>
              <w:suppressLineNumbers w:val="0"/>
              <w:spacing w:before="0" w:beforeAutospacing="0" w:after="0" w:afterAutospacing="0"/>
              <w:ind w:left="0" w:right="0"/>
              <w:jc w:val="center"/>
              <w:textAlignment w:val="top"/>
              <w:rPr>
                <w:bCs/>
                <w:szCs w:val="21"/>
              </w:rPr>
            </w:pPr>
            <w:r>
              <w:rPr>
                <w:bCs/>
                <w:szCs w:val="21"/>
              </w:rPr>
              <w:t>6.76</w:t>
            </w:r>
          </w:p>
        </w:tc>
      </w:tr>
      <w:tr w14:paraId="715B3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69D3C7C">
            <w:pPr>
              <w:keepNext w:val="0"/>
              <w:keepLines w:val="0"/>
              <w:widowControl/>
              <w:suppressLineNumbers w:val="0"/>
              <w:spacing w:before="0" w:beforeAutospacing="0" w:after="0" w:afterAutospacing="0"/>
              <w:ind w:left="0" w:right="0"/>
              <w:jc w:val="center"/>
              <w:textAlignment w:val="top"/>
              <w:rPr>
                <w:bCs/>
                <w:szCs w:val="21"/>
              </w:rPr>
            </w:pPr>
            <w:r>
              <w:rPr>
                <w:bCs/>
                <w:szCs w:val="21"/>
              </w:rPr>
              <w:t>29</w:t>
            </w:r>
          </w:p>
        </w:tc>
        <w:tc>
          <w:tcPr>
            <w:tcW w:w="2839" w:type="dxa"/>
            <w:tcBorders>
              <w:tl2br w:val="nil"/>
              <w:tr2bl w:val="nil"/>
            </w:tcBorders>
          </w:tcPr>
          <w:p w14:paraId="52B73CD1">
            <w:pPr>
              <w:keepNext w:val="0"/>
              <w:keepLines w:val="0"/>
              <w:widowControl/>
              <w:suppressLineNumbers w:val="0"/>
              <w:spacing w:before="0" w:beforeAutospacing="0" w:after="0" w:afterAutospacing="0"/>
              <w:ind w:left="0" w:right="0"/>
              <w:jc w:val="center"/>
              <w:textAlignment w:val="top"/>
              <w:rPr>
                <w:bCs/>
                <w:szCs w:val="21"/>
              </w:rPr>
            </w:pPr>
            <w:r>
              <w:rPr>
                <w:bCs/>
                <w:szCs w:val="21"/>
              </w:rPr>
              <w:t>0.303</w:t>
            </w:r>
          </w:p>
        </w:tc>
        <w:tc>
          <w:tcPr>
            <w:tcW w:w="2841" w:type="dxa"/>
            <w:tcBorders>
              <w:tl2br w:val="nil"/>
              <w:tr2bl w:val="nil"/>
            </w:tcBorders>
          </w:tcPr>
          <w:p w14:paraId="057D6D6B">
            <w:pPr>
              <w:keepNext w:val="0"/>
              <w:keepLines w:val="0"/>
              <w:widowControl/>
              <w:suppressLineNumbers w:val="0"/>
              <w:spacing w:before="0" w:beforeAutospacing="0" w:after="0" w:afterAutospacing="0"/>
              <w:ind w:left="0" w:right="0"/>
              <w:jc w:val="center"/>
              <w:textAlignment w:val="top"/>
              <w:rPr>
                <w:bCs/>
                <w:szCs w:val="21"/>
              </w:rPr>
            </w:pPr>
            <w:r>
              <w:rPr>
                <w:bCs/>
                <w:szCs w:val="21"/>
              </w:rPr>
              <w:t>6.34</w:t>
            </w:r>
          </w:p>
        </w:tc>
      </w:tr>
      <w:tr w14:paraId="65C7E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8B1DE8F">
            <w:pPr>
              <w:keepNext w:val="0"/>
              <w:keepLines w:val="0"/>
              <w:widowControl/>
              <w:suppressLineNumbers w:val="0"/>
              <w:spacing w:before="0" w:beforeAutospacing="0" w:after="0" w:afterAutospacing="0"/>
              <w:ind w:left="0" w:right="0"/>
              <w:jc w:val="center"/>
              <w:textAlignment w:val="top"/>
              <w:rPr>
                <w:bCs/>
                <w:szCs w:val="21"/>
              </w:rPr>
            </w:pPr>
            <w:r>
              <w:rPr>
                <w:bCs/>
                <w:szCs w:val="21"/>
              </w:rPr>
              <w:t>30</w:t>
            </w:r>
          </w:p>
        </w:tc>
        <w:tc>
          <w:tcPr>
            <w:tcW w:w="2839" w:type="dxa"/>
            <w:tcBorders>
              <w:tl2br w:val="nil"/>
              <w:tr2bl w:val="nil"/>
            </w:tcBorders>
          </w:tcPr>
          <w:p w14:paraId="25BF451F">
            <w:pPr>
              <w:keepNext w:val="0"/>
              <w:keepLines w:val="0"/>
              <w:widowControl/>
              <w:suppressLineNumbers w:val="0"/>
              <w:spacing w:before="0" w:beforeAutospacing="0" w:after="0" w:afterAutospacing="0"/>
              <w:ind w:left="0" w:right="0"/>
              <w:jc w:val="center"/>
              <w:textAlignment w:val="top"/>
              <w:rPr>
                <w:bCs/>
                <w:szCs w:val="21"/>
              </w:rPr>
            </w:pPr>
            <w:r>
              <w:rPr>
                <w:bCs/>
                <w:szCs w:val="21"/>
              </w:rPr>
              <w:t>0.298</w:t>
            </w:r>
          </w:p>
        </w:tc>
        <w:tc>
          <w:tcPr>
            <w:tcW w:w="2841" w:type="dxa"/>
            <w:tcBorders>
              <w:tl2br w:val="nil"/>
              <w:tr2bl w:val="nil"/>
            </w:tcBorders>
          </w:tcPr>
          <w:p w14:paraId="46CB708C">
            <w:pPr>
              <w:keepNext w:val="0"/>
              <w:keepLines w:val="0"/>
              <w:widowControl/>
              <w:suppressLineNumbers w:val="0"/>
              <w:spacing w:before="0" w:beforeAutospacing="0" w:after="0" w:afterAutospacing="0"/>
              <w:ind w:left="0" w:right="0"/>
              <w:jc w:val="center"/>
              <w:textAlignment w:val="top"/>
              <w:rPr>
                <w:bCs/>
                <w:szCs w:val="21"/>
              </w:rPr>
            </w:pPr>
            <w:r>
              <w:rPr>
                <w:bCs/>
                <w:szCs w:val="21"/>
              </w:rPr>
              <w:t>5.96</w:t>
            </w:r>
          </w:p>
        </w:tc>
      </w:tr>
      <w:tr w14:paraId="1BAB2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766EE64">
            <w:pPr>
              <w:keepNext w:val="0"/>
              <w:keepLines w:val="0"/>
              <w:widowControl/>
              <w:suppressLineNumbers w:val="0"/>
              <w:spacing w:before="0" w:beforeAutospacing="0" w:after="0" w:afterAutospacing="0"/>
              <w:ind w:left="0" w:right="0"/>
              <w:jc w:val="center"/>
              <w:textAlignment w:val="top"/>
              <w:rPr>
                <w:bCs/>
                <w:szCs w:val="21"/>
              </w:rPr>
            </w:pPr>
            <w:r>
              <w:rPr>
                <w:bCs/>
                <w:szCs w:val="21"/>
              </w:rPr>
              <w:t>31</w:t>
            </w:r>
          </w:p>
        </w:tc>
        <w:tc>
          <w:tcPr>
            <w:tcW w:w="2839" w:type="dxa"/>
            <w:tcBorders>
              <w:tl2br w:val="nil"/>
              <w:tr2bl w:val="nil"/>
            </w:tcBorders>
          </w:tcPr>
          <w:p w14:paraId="03275F53">
            <w:pPr>
              <w:keepNext w:val="0"/>
              <w:keepLines w:val="0"/>
              <w:widowControl/>
              <w:suppressLineNumbers w:val="0"/>
              <w:spacing w:before="0" w:beforeAutospacing="0" w:after="0" w:afterAutospacing="0"/>
              <w:ind w:left="0" w:right="0"/>
              <w:jc w:val="center"/>
              <w:textAlignment w:val="top"/>
              <w:rPr>
                <w:bCs/>
                <w:szCs w:val="21"/>
              </w:rPr>
            </w:pPr>
            <w:r>
              <w:rPr>
                <w:bCs/>
                <w:szCs w:val="21"/>
              </w:rPr>
              <w:t>0.293</w:t>
            </w:r>
          </w:p>
        </w:tc>
        <w:tc>
          <w:tcPr>
            <w:tcW w:w="2841" w:type="dxa"/>
            <w:tcBorders>
              <w:tl2br w:val="nil"/>
              <w:tr2bl w:val="nil"/>
            </w:tcBorders>
          </w:tcPr>
          <w:p w14:paraId="7049F2C7">
            <w:pPr>
              <w:keepNext w:val="0"/>
              <w:keepLines w:val="0"/>
              <w:widowControl/>
              <w:suppressLineNumbers w:val="0"/>
              <w:spacing w:before="0" w:beforeAutospacing="0" w:after="0" w:afterAutospacing="0"/>
              <w:ind w:left="0" w:right="0"/>
              <w:jc w:val="center"/>
              <w:textAlignment w:val="top"/>
              <w:rPr>
                <w:bCs/>
                <w:szCs w:val="21"/>
              </w:rPr>
            </w:pPr>
            <w:r>
              <w:rPr>
                <w:bCs/>
                <w:szCs w:val="21"/>
              </w:rPr>
              <w:t>5.61</w:t>
            </w:r>
          </w:p>
        </w:tc>
      </w:tr>
      <w:tr w14:paraId="5EBF1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CE6ADB7">
            <w:pPr>
              <w:keepNext w:val="0"/>
              <w:keepLines w:val="0"/>
              <w:widowControl/>
              <w:suppressLineNumbers w:val="0"/>
              <w:spacing w:before="0" w:beforeAutospacing="0" w:after="0" w:afterAutospacing="0"/>
              <w:ind w:left="0" w:right="0"/>
              <w:jc w:val="center"/>
              <w:textAlignment w:val="top"/>
              <w:rPr>
                <w:bCs/>
                <w:szCs w:val="21"/>
              </w:rPr>
            </w:pPr>
            <w:r>
              <w:rPr>
                <w:bCs/>
                <w:szCs w:val="21"/>
              </w:rPr>
              <w:t>32</w:t>
            </w:r>
          </w:p>
        </w:tc>
        <w:tc>
          <w:tcPr>
            <w:tcW w:w="2839" w:type="dxa"/>
            <w:tcBorders>
              <w:tl2br w:val="nil"/>
              <w:tr2bl w:val="nil"/>
            </w:tcBorders>
          </w:tcPr>
          <w:p w14:paraId="1DCF1B71">
            <w:pPr>
              <w:keepNext w:val="0"/>
              <w:keepLines w:val="0"/>
              <w:widowControl/>
              <w:suppressLineNumbers w:val="0"/>
              <w:spacing w:before="0" w:beforeAutospacing="0" w:after="0" w:afterAutospacing="0"/>
              <w:ind w:left="0" w:right="0"/>
              <w:jc w:val="center"/>
              <w:textAlignment w:val="top"/>
              <w:rPr>
                <w:bCs/>
                <w:szCs w:val="21"/>
              </w:rPr>
            </w:pPr>
            <w:r>
              <w:rPr>
                <w:bCs/>
                <w:szCs w:val="21"/>
              </w:rPr>
              <w:t>0.288</w:t>
            </w:r>
          </w:p>
        </w:tc>
        <w:tc>
          <w:tcPr>
            <w:tcW w:w="2841" w:type="dxa"/>
            <w:tcBorders>
              <w:tl2br w:val="nil"/>
              <w:tr2bl w:val="nil"/>
            </w:tcBorders>
          </w:tcPr>
          <w:p w14:paraId="6815AA2F">
            <w:pPr>
              <w:keepNext w:val="0"/>
              <w:keepLines w:val="0"/>
              <w:widowControl/>
              <w:suppressLineNumbers w:val="0"/>
              <w:spacing w:before="0" w:beforeAutospacing="0" w:after="0" w:afterAutospacing="0"/>
              <w:ind w:left="0" w:right="0"/>
              <w:jc w:val="center"/>
              <w:textAlignment w:val="top"/>
              <w:rPr>
                <w:bCs/>
                <w:szCs w:val="21"/>
              </w:rPr>
            </w:pPr>
            <w:r>
              <w:rPr>
                <w:bCs/>
                <w:szCs w:val="21"/>
              </w:rPr>
              <w:t>5.29</w:t>
            </w:r>
          </w:p>
        </w:tc>
      </w:tr>
      <w:tr w14:paraId="29A45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4C3E372">
            <w:pPr>
              <w:keepNext w:val="0"/>
              <w:keepLines w:val="0"/>
              <w:widowControl/>
              <w:suppressLineNumbers w:val="0"/>
              <w:spacing w:before="0" w:beforeAutospacing="0" w:after="0" w:afterAutospacing="0"/>
              <w:ind w:left="0" w:right="0"/>
              <w:jc w:val="center"/>
              <w:textAlignment w:val="top"/>
              <w:rPr>
                <w:bCs/>
                <w:szCs w:val="21"/>
              </w:rPr>
            </w:pPr>
            <w:r>
              <w:rPr>
                <w:bCs/>
                <w:szCs w:val="21"/>
              </w:rPr>
              <w:t>33</w:t>
            </w:r>
          </w:p>
        </w:tc>
        <w:tc>
          <w:tcPr>
            <w:tcW w:w="2839" w:type="dxa"/>
            <w:tcBorders>
              <w:tl2br w:val="nil"/>
              <w:tr2bl w:val="nil"/>
            </w:tcBorders>
          </w:tcPr>
          <w:p w14:paraId="451CCB3D">
            <w:pPr>
              <w:keepNext w:val="0"/>
              <w:keepLines w:val="0"/>
              <w:widowControl/>
              <w:suppressLineNumbers w:val="0"/>
              <w:spacing w:before="0" w:beforeAutospacing="0" w:after="0" w:afterAutospacing="0"/>
              <w:ind w:left="0" w:right="0"/>
              <w:jc w:val="center"/>
              <w:textAlignment w:val="top"/>
              <w:rPr>
                <w:bCs/>
                <w:szCs w:val="21"/>
              </w:rPr>
            </w:pPr>
            <w:r>
              <w:rPr>
                <w:bCs/>
                <w:szCs w:val="21"/>
              </w:rPr>
              <w:t>0.282</w:t>
            </w:r>
          </w:p>
        </w:tc>
        <w:tc>
          <w:tcPr>
            <w:tcW w:w="2841" w:type="dxa"/>
            <w:tcBorders>
              <w:tl2br w:val="nil"/>
              <w:tr2bl w:val="nil"/>
            </w:tcBorders>
          </w:tcPr>
          <w:p w14:paraId="318C793F">
            <w:pPr>
              <w:keepNext w:val="0"/>
              <w:keepLines w:val="0"/>
              <w:widowControl/>
              <w:suppressLineNumbers w:val="0"/>
              <w:spacing w:before="0" w:beforeAutospacing="0" w:after="0" w:afterAutospacing="0"/>
              <w:ind w:left="0" w:right="0"/>
              <w:jc w:val="center"/>
              <w:textAlignment w:val="top"/>
              <w:rPr>
                <w:bCs/>
                <w:szCs w:val="21"/>
              </w:rPr>
            </w:pPr>
            <w:r>
              <w:rPr>
                <w:bCs/>
                <w:szCs w:val="21"/>
              </w:rPr>
              <w:t>4.99</w:t>
            </w:r>
          </w:p>
        </w:tc>
      </w:tr>
      <w:tr w14:paraId="33562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D0EC43A">
            <w:pPr>
              <w:keepNext w:val="0"/>
              <w:keepLines w:val="0"/>
              <w:widowControl/>
              <w:suppressLineNumbers w:val="0"/>
              <w:spacing w:before="0" w:beforeAutospacing="0" w:after="0" w:afterAutospacing="0"/>
              <w:ind w:left="0" w:right="0"/>
              <w:jc w:val="center"/>
              <w:textAlignment w:val="top"/>
              <w:rPr>
                <w:bCs/>
                <w:szCs w:val="21"/>
              </w:rPr>
            </w:pPr>
            <w:r>
              <w:rPr>
                <w:bCs/>
                <w:szCs w:val="21"/>
              </w:rPr>
              <w:t>34</w:t>
            </w:r>
          </w:p>
        </w:tc>
        <w:tc>
          <w:tcPr>
            <w:tcW w:w="2839" w:type="dxa"/>
            <w:tcBorders>
              <w:tl2br w:val="nil"/>
              <w:tr2bl w:val="nil"/>
            </w:tcBorders>
          </w:tcPr>
          <w:p w14:paraId="35A6305D">
            <w:pPr>
              <w:keepNext w:val="0"/>
              <w:keepLines w:val="0"/>
              <w:widowControl/>
              <w:suppressLineNumbers w:val="0"/>
              <w:spacing w:before="0" w:beforeAutospacing="0" w:after="0" w:afterAutospacing="0"/>
              <w:ind w:left="0" w:right="0"/>
              <w:jc w:val="center"/>
              <w:textAlignment w:val="top"/>
              <w:rPr>
                <w:bCs/>
                <w:szCs w:val="21"/>
              </w:rPr>
            </w:pPr>
            <w:r>
              <w:rPr>
                <w:bCs/>
                <w:szCs w:val="21"/>
              </w:rPr>
              <w:t>0.275</w:t>
            </w:r>
          </w:p>
        </w:tc>
        <w:tc>
          <w:tcPr>
            <w:tcW w:w="2841" w:type="dxa"/>
            <w:tcBorders>
              <w:tl2br w:val="nil"/>
              <w:tr2bl w:val="nil"/>
            </w:tcBorders>
          </w:tcPr>
          <w:p w14:paraId="73DF34C7">
            <w:pPr>
              <w:keepNext w:val="0"/>
              <w:keepLines w:val="0"/>
              <w:widowControl/>
              <w:suppressLineNumbers w:val="0"/>
              <w:spacing w:before="0" w:beforeAutospacing="0" w:after="0" w:afterAutospacing="0"/>
              <w:ind w:left="0" w:right="0"/>
              <w:jc w:val="center"/>
              <w:textAlignment w:val="top"/>
              <w:rPr>
                <w:bCs/>
                <w:szCs w:val="21"/>
              </w:rPr>
            </w:pPr>
            <w:r>
              <w:rPr>
                <w:bCs/>
                <w:szCs w:val="21"/>
              </w:rPr>
              <w:t>4.72</w:t>
            </w:r>
          </w:p>
        </w:tc>
      </w:tr>
      <w:tr w14:paraId="280B2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695A7D5">
            <w:pPr>
              <w:keepNext w:val="0"/>
              <w:keepLines w:val="0"/>
              <w:widowControl/>
              <w:suppressLineNumbers w:val="0"/>
              <w:spacing w:before="0" w:beforeAutospacing="0" w:after="0" w:afterAutospacing="0"/>
              <w:ind w:left="0" w:right="0"/>
              <w:jc w:val="center"/>
              <w:textAlignment w:val="top"/>
              <w:rPr>
                <w:bCs/>
                <w:szCs w:val="21"/>
              </w:rPr>
            </w:pPr>
            <w:r>
              <w:rPr>
                <w:bCs/>
                <w:szCs w:val="21"/>
              </w:rPr>
              <w:t>35</w:t>
            </w:r>
          </w:p>
        </w:tc>
        <w:tc>
          <w:tcPr>
            <w:tcW w:w="2839" w:type="dxa"/>
            <w:tcBorders>
              <w:tl2br w:val="nil"/>
              <w:tr2bl w:val="nil"/>
            </w:tcBorders>
          </w:tcPr>
          <w:p w14:paraId="70EE66E0">
            <w:pPr>
              <w:keepNext w:val="0"/>
              <w:keepLines w:val="0"/>
              <w:widowControl/>
              <w:suppressLineNumbers w:val="0"/>
              <w:spacing w:before="0" w:beforeAutospacing="0" w:after="0" w:afterAutospacing="0"/>
              <w:ind w:left="0" w:right="0"/>
              <w:jc w:val="center"/>
              <w:textAlignment w:val="top"/>
              <w:rPr>
                <w:bCs/>
                <w:szCs w:val="21"/>
              </w:rPr>
            </w:pPr>
            <w:r>
              <w:rPr>
                <w:bCs/>
                <w:szCs w:val="21"/>
              </w:rPr>
              <w:t>0.269</w:t>
            </w:r>
          </w:p>
        </w:tc>
        <w:tc>
          <w:tcPr>
            <w:tcW w:w="2841" w:type="dxa"/>
            <w:tcBorders>
              <w:tl2br w:val="nil"/>
              <w:tr2bl w:val="nil"/>
            </w:tcBorders>
          </w:tcPr>
          <w:p w14:paraId="48DF5247">
            <w:pPr>
              <w:keepNext w:val="0"/>
              <w:keepLines w:val="0"/>
              <w:widowControl/>
              <w:suppressLineNumbers w:val="0"/>
              <w:spacing w:before="0" w:beforeAutospacing="0" w:after="0" w:afterAutospacing="0"/>
              <w:ind w:left="0" w:right="0"/>
              <w:jc w:val="center"/>
              <w:textAlignment w:val="top"/>
              <w:rPr>
                <w:bCs/>
                <w:szCs w:val="21"/>
              </w:rPr>
            </w:pPr>
            <w:r>
              <w:rPr>
                <w:bCs/>
                <w:szCs w:val="21"/>
              </w:rPr>
              <w:t>4.47</w:t>
            </w:r>
          </w:p>
        </w:tc>
      </w:tr>
      <w:tr w14:paraId="5A292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61CB5D6">
            <w:pPr>
              <w:keepNext w:val="0"/>
              <w:keepLines w:val="0"/>
              <w:widowControl/>
              <w:suppressLineNumbers w:val="0"/>
              <w:spacing w:before="0" w:beforeAutospacing="0" w:after="0" w:afterAutospacing="0"/>
              <w:ind w:left="0" w:right="0"/>
              <w:jc w:val="center"/>
              <w:textAlignment w:val="top"/>
              <w:rPr>
                <w:bCs/>
                <w:szCs w:val="21"/>
              </w:rPr>
            </w:pPr>
            <w:r>
              <w:rPr>
                <w:bCs/>
                <w:szCs w:val="21"/>
              </w:rPr>
              <w:t>36</w:t>
            </w:r>
          </w:p>
        </w:tc>
        <w:tc>
          <w:tcPr>
            <w:tcW w:w="2839" w:type="dxa"/>
            <w:tcBorders>
              <w:tl2br w:val="nil"/>
              <w:tr2bl w:val="nil"/>
            </w:tcBorders>
          </w:tcPr>
          <w:p w14:paraId="22D879B5">
            <w:pPr>
              <w:keepNext w:val="0"/>
              <w:keepLines w:val="0"/>
              <w:widowControl/>
              <w:suppressLineNumbers w:val="0"/>
              <w:spacing w:before="0" w:beforeAutospacing="0" w:after="0" w:afterAutospacing="0"/>
              <w:ind w:left="0" w:right="0"/>
              <w:jc w:val="center"/>
              <w:textAlignment w:val="top"/>
              <w:rPr>
                <w:bCs/>
                <w:szCs w:val="21"/>
              </w:rPr>
            </w:pPr>
            <w:r>
              <w:rPr>
                <w:bCs/>
                <w:szCs w:val="21"/>
              </w:rPr>
              <w:t>0.262</w:t>
            </w:r>
          </w:p>
        </w:tc>
        <w:tc>
          <w:tcPr>
            <w:tcW w:w="2841" w:type="dxa"/>
            <w:tcBorders>
              <w:tl2br w:val="nil"/>
              <w:tr2bl w:val="nil"/>
            </w:tcBorders>
          </w:tcPr>
          <w:p w14:paraId="02B7FC5C">
            <w:pPr>
              <w:keepNext w:val="0"/>
              <w:keepLines w:val="0"/>
              <w:widowControl/>
              <w:suppressLineNumbers w:val="0"/>
              <w:spacing w:before="0" w:beforeAutospacing="0" w:after="0" w:afterAutospacing="0"/>
              <w:ind w:left="0" w:right="0"/>
              <w:jc w:val="center"/>
              <w:textAlignment w:val="top"/>
              <w:rPr>
                <w:bCs/>
                <w:szCs w:val="21"/>
              </w:rPr>
            </w:pPr>
            <w:r>
              <w:rPr>
                <w:bCs/>
                <w:szCs w:val="21"/>
              </w:rPr>
              <w:t>4.24</w:t>
            </w:r>
          </w:p>
        </w:tc>
      </w:tr>
      <w:tr w14:paraId="781D8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64A4A06">
            <w:pPr>
              <w:keepNext w:val="0"/>
              <w:keepLines w:val="0"/>
              <w:widowControl/>
              <w:suppressLineNumbers w:val="0"/>
              <w:spacing w:before="0" w:beforeAutospacing="0" w:after="0" w:afterAutospacing="0"/>
              <w:ind w:left="0" w:right="0"/>
              <w:jc w:val="center"/>
              <w:textAlignment w:val="top"/>
              <w:rPr>
                <w:bCs/>
                <w:szCs w:val="21"/>
              </w:rPr>
            </w:pPr>
            <w:r>
              <w:rPr>
                <w:bCs/>
                <w:szCs w:val="21"/>
              </w:rPr>
              <w:t>37</w:t>
            </w:r>
          </w:p>
        </w:tc>
        <w:tc>
          <w:tcPr>
            <w:tcW w:w="2839" w:type="dxa"/>
            <w:tcBorders>
              <w:tl2br w:val="nil"/>
              <w:tr2bl w:val="nil"/>
            </w:tcBorders>
          </w:tcPr>
          <w:p w14:paraId="23B5578B">
            <w:pPr>
              <w:keepNext w:val="0"/>
              <w:keepLines w:val="0"/>
              <w:widowControl/>
              <w:suppressLineNumbers w:val="0"/>
              <w:spacing w:before="0" w:beforeAutospacing="0" w:after="0" w:afterAutospacing="0"/>
              <w:ind w:left="0" w:right="0"/>
              <w:jc w:val="center"/>
              <w:textAlignment w:val="top"/>
              <w:rPr>
                <w:bCs/>
                <w:szCs w:val="21"/>
              </w:rPr>
            </w:pPr>
            <w:r>
              <w:rPr>
                <w:bCs/>
                <w:szCs w:val="21"/>
              </w:rPr>
              <w:t>0.255</w:t>
            </w:r>
          </w:p>
        </w:tc>
        <w:tc>
          <w:tcPr>
            <w:tcW w:w="2841" w:type="dxa"/>
            <w:tcBorders>
              <w:tl2br w:val="nil"/>
              <w:tr2bl w:val="nil"/>
            </w:tcBorders>
          </w:tcPr>
          <w:p w14:paraId="4A2F1402">
            <w:pPr>
              <w:keepNext w:val="0"/>
              <w:keepLines w:val="0"/>
              <w:widowControl/>
              <w:suppressLineNumbers w:val="0"/>
              <w:spacing w:before="0" w:beforeAutospacing="0" w:after="0" w:afterAutospacing="0"/>
              <w:ind w:left="0" w:right="0"/>
              <w:jc w:val="center"/>
              <w:textAlignment w:val="top"/>
              <w:rPr>
                <w:bCs/>
                <w:szCs w:val="21"/>
              </w:rPr>
            </w:pPr>
            <w:r>
              <w:rPr>
                <w:bCs/>
                <w:szCs w:val="21"/>
              </w:rPr>
              <w:t>4.02</w:t>
            </w:r>
          </w:p>
        </w:tc>
      </w:tr>
      <w:tr w14:paraId="17BF6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F753226">
            <w:pPr>
              <w:keepNext w:val="0"/>
              <w:keepLines w:val="0"/>
              <w:widowControl/>
              <w:suppressLineNumbers w:val="0"/>
              <w:spacing w:before="0" w:beforeAutospacing="0" w:after="0" w:afterAutospacing="0"/>
              <w:ind w:left="0" w:right="0"/>
              <w:jc w:val="center"/>
              <w:textAlignment w:val="top"/>
              <w:rPr>
                <w:bCs/>
                <w:szCs w:val="21"/>
              </w:rPr>
            </w:pPr>
            <w:r>
              <w:rPr>
                <w:bCs/>
                <w:szCs w:val="21"/>
              </w:rPr>
              <w:t>38</w:t>
            </w:r>
          </w:p>
        </w:tc>
        <w:tc>
          <w:tcPr>
            <w:tcW w:w="2839" w:type="dxa"/>
            <w:tcBorders>
              <w:tl2br w:val="nil"/>
              <w:tr2bl w:val="nil"/>
            </w:tcBorders>
          </w:tcPr>
          <w:p w14:paraId="6773AD87">
            <w:pPr>
              <w:keepNext w:val="0"/>
              <w:keepLines w:val="0"/>
              <w:widowControl/>
              <w:suppressLineNumbers w:val="0"/>
              <w:spacing w:before="0" w:beforeAutospacing="0" w:after="0" w:afterAutospacing="0"/>
              <w:ind w:left="0" w:right="0"/>
              <w:jc w:val="center"/>
              <w:textAlignment w:val="top"/>
              <w:rPr>
                <w:bCs/>
                <w:szCs w:val="21"/>
              </w:rPr>
            </w:pPr>
            <w:r>
              <w:rPr>
                <w:bCs/>
                <w:szCs w:val="21"/>
              </w:rPr>
              <w:t>0.249</w:t>
            </w:r>
          </w:p>
        </w:tc>
        <w:tc>
          <w:tcPr>
            <w:tcW w:w="2841" w:type="dxa"/>
            <w:tcBorders>
              <w:tl2br w:val="nil"/>
              <w:tr2bl w:val="nil"/>
            </w:tcBorders>
          </w:tcPr>
          <w:p w14:paraId="6BCC7C85">
            <w:pPr>
              <w:keepNext w:val="0"/>
              <w:keepLines w:val="0"/>
              <w:widowControl/>
              <w:suppressLineNumbers w:val="0"/>
              <w:spacing w:before="0" w:beforeAutospacing="0" w:after="0" w:afterAutospacing="0"/>
              <w:ind w:left="0" w:right="0"/>
              <w:jc w:val="center"/>
              <w:textAlignment w:val="top"/>
              <w:rPr>
                <w:bCs/>
                <w:szCs w:val="21"/>
              </w:rPr>
            </w:pPr>
            <w:r>
              <w:rPr>
                <w:bCs/>
                <w:szCs w:val="21"/>
              </w:rPr>
              <w:t>3.82</w:t>
            </w:r>
          </w:p>
        </w:tc>
      </w:tr>
      <w:tr w14:paraId="0DF74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9C06901">
            <w:pPr>
              <w:keepNext w:val="0"/>
              <w:keepLines w:val="0"/>
              <w:widowControl/>
              <w:suppressLineNumbers w:val="0"/>
              <w:spacing w:before="0" w:beforeAutospacing="0" w:after="0" w:afterAutospacing="0"/>
              <w:ind w:left="0" w:right="0"/>
              <w:jc w:val="center"/>
              <w:textAlignment w:val="top"/>
              <w:rPr>
                <w:bCs/>
                <w:szCs w:val="21"/>
              </w:rPr>
            </w:pPr>
            <w:r>
              <w:rPr>
                <w:bCs/>
                <w:szCs w:val="21"/>
              </w:rPr>
              <w:t>39</w:t>
            </w:r>
          </w:p>
        </w:tc>
        <w:tc>
          <w:tcPr>
            <w:tcW w:w="2839" w:type="dxa"/>
            <w:tcBorders>
              <w:tl2br w:val="nil"/>
              <w:tr2bl w:val="nil"/>
            </w:tcBorders>
          </w:tcPr>
          <w:p w14:paraId="4A4B4319">
            <w:pPr>
              <w:keepNext w:val="0"/>
              <w:keepLines w:val="0"/>
              <w:widowControl/>
              <w:suppressLineNumbers w:val="0"/>
              <w:spacing w:before="0" w:beforeAutospacing="0" w:after="0" w:afterAutospacing="0"/>
              <w:ind w:left="0" w:right="0"/>
              <w:jc w:val="center"/>
              <w:textAlignment w:val="top"/>
              <w:rPr>
                <w:bCs/>
                <w:szCs w:val="21"/>
              </w:rPr>
            </w:pPr>
            <w:r>
              <w:rPr>
                <w:bCs/>
                <w:szCs w:val="21"/>
              </w:rPr>
              <w:t>0.242</w:t>
            </w:r>
          </w:p>
        </w:tc>
        <w:tc>
          <w:tcPr>
            <w:tcW w:w="2841" w:type="dxa"/>
            <w:tcBorders>
              <w:tl2br w:val="nil"/>
              <w:tr2bl w:val="nil"/>
            </w:tcBorders>
          </w:tcPr>
          <w:p w14:paraId="5BC2E747">
            <w:pPr>
              <w:keepNext w:val="0"/>
              <w:keepLines w:val="0"/>
              <w:widowControl/>
              <w:suppressLineNumbers w:val="0"/>
              <w:spacing w:before="0" w:beforeAutospacing="0" w:after="0" w:afterAutospacing="0"/>
              <w:ind w:left="0" w:right="0"/>
              <w:jc w:val="center"/>
              <w:textAlignment w:val="top"/>
              <w:rPr>
                <w:bCs/>
                <w:szCs w:val="21"/>
              </w:rPr>
            </w:pPr>
            <w:r>
              <w:rPr>
                <w:bCs/>
                <w:szCs w:val="21"/>
              </w:rPr>
              <w:t>3.64</w:t>
            </w:r>
          </w:p>
        </w:tc>
      </w:tr>
      <w:tr w14:paraId="0C4E0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427D614">
            <w:pPr>
              <w:keepNext w:val="0"/>
              <w:keepLines w:val="0"/>
              <w:widowControl/>
              <w:suppressLineNumbers w:val="0"/>
              <w:spacing w:before="0" w:beforeAutospacing="0" w:after="0" w:afterAutospacing="0"/>
              <w:ind w:left="0" w:right="0"/>
              <w:jc w:val="center"/>
              <w:textAlignment w:val="top"/>
              <w:rPr>
                <w:bCs/>
                <w:szCs w:val="21"/>
              </w:rPr>
            </w:pPr>
            <w:r>
              <w:rPr>
                <w:bCs/>
                <w:szCs w:val="21"/>
              </w:rPr>
              <w:t>40</w:t>
            </w:r>
          </w:p>
        </w:tc>
        <w:tc>
          <w:tcPr>
            <w:tcW w:w="2839" w:type="dxa"/>
            <w:tcBorders>
              <w:tl2br w:val="nil"/>
              <w:tr2bl w:val="nil"/>
            </w:tcBorders>
          </w:tcPr>
          <w:p w14:paraId="52D39BD6">
            <w:pPr>
              <w:keepNext w:val="0"/>
              <w:keepLines w:val="0"/>
              <w:widowControl/>
              <w:suppressLineNumbers w:val="0"/>
              <w:spacing w:before="0" w:beforeAutospacing="0" w:after="0" w:afterAutospacing="0"/>
              <w:ind w:left="0" w:right="0"/>
              <w:jc w:val="center"/>
              <w:textAlignment w:val="top"/>
              <w:rPr>
                <w:bCs/>
                <w:szCs w:val="21"/>
              </w:rPr>
            </w:pPr>
            <w:r>
              <w:rPr>
                <w:bCs/>
                <w:szCs w:val="21"/>
              </w:rPr>
              <w:t>0.235</w:t>
            </w:r>
          </w:p>
        </w:tc>
        <w:tc>
          <w:tcPr>
            <w:tcW w:w="2841" w:type="dxa"/>
            <w:tcBorders>
              <w:tl2br w:val="nil"/>
              <w:tr2bl w:val="nil"/>
            </w:tcBorders>
          </w:tcPr>
          <w:p w14:paraId="18C4C0C4">
            <w:pPr>
              <w:keepNext w:val="0"/>
              <w:keepLines w:val="0"/>
              <w:widowControl/>
              <w:suppressLineNumbers w:val="0"/>
              <w:spacing w:before="0" w:beforeAutospacing="0" w:after="0" w:afterAutospacing="0"/>
              <w:ind w:left="0" w:right="0"/>
              <w:jc w:val="center"/>
              <w:textAlignment w:val="top"/>
              <w:rPr>
                <w:bCs/>
                <w:szCs w:val="21"/>
              </w:rPr>
            </w:pPr>
            <w:r>
              <w:rPr>
                <w:bCs/>
                <w:szCs w:val="21"/>
              </w:rPr>
              <w:t>3.47</w:t>
            </w:r>
          </w:p>
        </w:tc>
      </w:tr>
      <w:tr w14:paraId="6C01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E4C0892">
            <w:pPr>
              <w:keepNext w:val="0"/>
              <w:keepLines w:val="0"/>
              <w:widowControl/>
              <w:suppressLineNumbers w:val="0"/>
              <w:spacing w:before="0" w:beforeAutospacing="0" w:after="0" w:afterAutospacing="0"/>
              <w:ind w:left="0" w:right="0"/>
              <w:jc w:val="center"/>
              <w:textAlignment w:val="top"/>
              <w:rPr>
                <w:bCs/>
                <w:szCs w:val="21"/>
              </w:rPr>
            </w:pPr>
            <w:r>
              <w:rPr>
                <w:bCs/>
                <w:szCs w:val="21"/>
              </w:rPr>
              <w:t>41</w:t>
            </w:r>
          </w:p>
        </w:tc>
        <w:tc>
          <w:tcPr>
            <w:tcW w:w="2839" w:type="dxa"/>
            <w:tcBorders>
              <w:tl2br w:val="nil"/>
              <w:tr2bl w:val="nil"/>
            </w:tcBorders>
          </w:tcPr>
          <w:p w14:paraId="6B14C48D">
            <w:pPr>
              <w:keepNext w:val="0"/>
              <w:keepLines w:val="0"/>
              <w:widowControl/>
              <w:suppressLineNumbers w:val="0"/>
              <w:spacing w:before="0" w:beforeAutospacing="0" w:after="0" w:afterAutospacing="0"/>
              <w:ind w:left="0" w:right="0"/>
              <w:jc w:val="center"/>
              <w:textAlignment w:val="top"/>
              <w:rPr>
                <w:bCs/>
                <w:szCs w:val="21"/>
              </w:rPr>
            </w:pPr>
            <w:r>
              <w:rPr>
                <w:bCs/>
                <w:szCs w:val="21"/>
              </w:rPr>
              <w:t>0.228</w:t>
            </w:r>
          </w:p>
        </w:tc>
        <w:tc>
          <w:tcPr>
            <w:tcW w:w="2841" w:type="dxa"/>
            <w:tcBorders>
              <w:tl2br w:val="nil"/>
              <w:tr2bl w:val="nil"/>
            </w:tcBorders>
          </w:tcPr>
          <w:p w14:paraId="37047685">
            <w:pPr>
              <w:keepNext w:val="0"/>
              <w:keepLines w:val="0"/>
              <w:widowControl/>
              <w:suppressLineNumbers w:val="0"/>
              <w:spacing w:before="0" w:beforeAutospacing="0" w:after="0" w:afterAutospacing="0"/>
              <w:ind w:left="0" w:right="0"/>
              <w:jc w:val="center"/>
              <w:textAlignment w:val="top"/>
              <w:rPr>
                <w:bCs/>
                <w:szCs w:val="21"/>
              </w:rPr>
            </w:pPr>
            <w:r>
              <w:rPr>
                <w:bCs/>
                <w:szCs w:val="21"/>
              </w:rPr>
              <w:t>3.31</w:t>
            </w:r>
          </w:p>
        </w:tc>
      </w:tr>
      <w:tr w14:paraId="07D5D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6F072381">
            <w:pPr>
              <w:keepNext w:val="0"/>
              <w:keepLines w:val="0"/>
              <w:widowControl/>
              <w:suppressLineNumbers w:val="0"/>
              <w:spacing w:before="0" w:beforeAutospacing="0" w:after="0" w:afterAutospacing="0"/>
              <w:ind w:left="0" w:right="0"/>
              <w:jc w:val="center"/>
              <w:textAlignment w:val="top"/>
              <w:rPr>
                <w:bCs/>
                <w:szCs w:val="21"/>
              </w:rPr>
            </w:pPr>
            <w:r>
              <w:rPr>
                <w:bCs/>
                <w:szCs w:val="21"/>
              </w:rPr>
              <w:t>42</w:t>
            </w:r>
          </w:p>
        </w:tc>
        <w:tc>
          <w:tcPr>
            <w:tcW w:w="2839" w:type="dxa"/>
            <w:tcBorders>
              <w:tl2br w:val="nil"/>
              <w:tr2bl w:val="nil"/>
            </w:tcBorders>
          </w:tcPr>
          <w:p w14:paraId="1C451909">
            <w:pPr>
              <w:keepNext w:val="0"/>
              <w:keepLines w:val="0"/>
              <w:widowControl/>
              <w:suppressLineNumbers w:val="0"/>
              <w:spacing w:before="0" w:beforeAutospacing="0" w:after="0" w:afterAutospacing="0"/>
              <w:ind w:left="0" w:right="0"/>
              <w:jc w:val="center"/>
              <w:textAlignment w:val="top"/>
              <w:rPr>
                <w:bCs/>
                <w:szCs w:val="21"/>
              </w:rPr>
            </w:pPr>
            <w:r>
              <w:rPr>
                <w:bCs/>
                <w:szCs w:val="21"/>
              </w:rPr>
              <w:t>0.222</w:t>
            </w:r>
          </w:p>
        </w:tc>
        <w:tc>
          <w:tcPr>
            <w:tcW w:w="2841" w:type="dxa"/>
            <w:tcBorders>
              <w:tl2br w:val="nil"/>
              <w:tr2bl w:val="nil"/>
            </w:tcBorders>
          </w:tcPr>
          <w:p w14:paraId="4A31E4FB">
            <w:pPr>
              <w:keepNext w:val="0"/>
              <w:keepLines w:val="0"/>
              <w:widowControl/>
              <w:suppressLineNumbers w:val="0"/>
              <w:spacing w:before="0" w:beforeAutospacing="0" w:after="0" w:afterAutospacing="0"/>
              <w:ind w:left="0" w:right="0"/>
              <w:jc w:val="center"/>
              <w:textAlignment w:val="top"/>
              <w:rPr>
                <w:bCs/>
                <w:szCs w:val="21"/>
              </w:rPr>
            </w:pPr>
            <w:r>
              <w:rPr>
                <w:bCs/>
                <w:szCs w:val="21"/>
              </w:rPr>
              <w:t>3.16</w:t>
            </w:r>
          </w:p>
        </w:tc>
      </w:tr>
      <w:tr w14:paraId="7889B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28685CAD">
            <w:pPr>
              <w:keepNext w:val="0"/>
              <w:keepLines w:val="0"/>
              <w:widowControl/>
              <w:suppressLineNumbers w:val="0"/>
              <w:spacing w:before="0" w:beforeAutospacing="0" w:after="0" w:afterAutospacing="0"/>
              <w:ind w:left="0" w:right="0"/>
              <w:jc w:val="center"/>
              <w:textAlignment w:val="top"/>
              <w:rPr>
                <w:bCs/>
                <w:szCs w:val="21"/>
              </w:rPr>
            </w:pPr>
            <w:r>
              <w:rPr>
                <w:bCs/>
                <w:szCs w:val="21"/>
              </w:rPr>
              <w:t>43</w:t>
            </w:r>
          </w:p>
        </w:tc>
        <w:tc>
          <w:tcPr>
            <w:tcW w:w="2839" w:type="dxa"/>
            <w:tcBorders>
              <w:tl2br w:val="nil"/>
              <w:tr2bl w:val="nil"/>
            </w:tcBorders>
          </w:tcPr>
          <w:p w14:paraId="67C850E4">
            <w:pPr>
              <w:keepNext w:val="0"/>
              <w:keepLines w:val="0"/>
              <w:widowControl/>
              <w:suppressLineNumbers w:val="0"/>
              <w:spacing w:before="0" w:beforeAutospacing="0" w:after="0" w:afterAutospacing="0"/>
              <w:ind w:left="0" w:right="0"/>
              <w:jc w:val="center"/>
              <w:textAlignment w:val="top"/>
              <w:rPr>
                <w:bCs/>
                <w:szCs w:val="21"/>
              </w:rPr>
            </w:pPr>
            <w:r>
              <w:rPr>
                <w:bCs/>
                <w:szCs w:val="21"/>
              </w:rPr>
              <w:t>0.215</w:t>
            </w:r>
          </w:p>
        </w:tc>
        <w:tc>
          <w:tcPr>
            <w:tcW w:w="2841" w:type="dxa"/>
            <w:tcBorders>
              <w:tl2br w:val="nil"/>
              <w:tr2bl w:val="nil"/>
            </w:tcBorders>
          </w:tcPr>
          <w:p w14:paraId="2C016060">
            <w:pPr>
              <w:keepNext w:val="0"/>
              <w:keepLines w:val="0"/>
              <w:widowControl/>
              <w:suppressLineNumbers w:val="0"/>
              <w:spacing w:before="0" w:beforeAutospacing="0" w:after="0" w:afterAutospacing="0"/>
              <w:ind w:left="0" w:right="0"/>
              <w:jc w:val="center"/>
              <w:textAlignment w:val="top"/>
              <w:rPr>
                <w:bCs/>
                <w:szCs w:val="21"/>
              </w:rPr>
            </w:pPr>
            <w:r>
              <w:rPr>
                <w:bCs/>
                <w:szCs w:val="21"/>
              </w:rPr>
              <w:t>3.02</w:t>
            </w:r>
          </w:p>
        </w:tc>
      </w:tr>
      <w:tr w14:paraId="39865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673E8D9">
            <w:pPr>
              <w:keepNext w:val="0"/>
              <w:keepLines w:val="0"/>
              <w:widowControl/>
              <w:suppressLineNumbers w:val="0"/>
              <w:spacing w:before="0" w:beforeAutospacing="0" w:after="0" w:afterAutospacing="0"/>
              <w:ind w:left="0" w:right="0"/>
              <w:jc w:val="center"/>
              <w:textAlignment w:val="top"/>
              <w:rPr>
                <w:bCs/>
                <w:szCs w:val="21"/>
              </w:rPr>
            </w:pPr>
            <w:r>
              <w:rPr>
                <w:bCs/>
                <w:szCs w:val="21"/>
              </w:rPr>
              <w:t>44</w:t>
            </w:r>
          </w:p>
        </w:tc>
        <w:tc>
          <w:tcPr>
            <w:tcW w:w="2839" w:type="dxa"/>
            <w:tcBorders>
              <w:tl2br w:val="nil"/>
              <w:tr2bl w:val="nil"/>
            </w:tcBorders>
          </w:tcPr>
          <w:p w14:paraId="17D01ACC">
            <w:pPr>
              <w:keepNext w:val="0"/>
              <w:keepLines w:val="0"/>
              <w:widowControl/>
              <w:suppressLineNumbers w:val="0"/>
              <w:spacing w:before="0" w:beforeAutospacing="0" w:after="0" w:afterAutospacing="0"/>
              <w:ind w:left="0" w:right="0"/>
              <w:jc w:val="center"/>
              <w:textAlignment w:val="top"/>
              <w:rPr>
                <w:bCs/>
                <w:szCs w:val="21"/>
              </w:rPr>
            </w:pPr>
            <w:r>
              <w:rPr>
                <w:bCs/>
                <w:szCs w:val="21"/>
              </w:rPr>
              <w:t>0.209</w:t>
            </w:r>
          </w:p>
        </w:tc>
        <w:tc>
          <w:tcPr>
            <w:tcW w:w="2841" w:type="dxa"/>
            <w:tcBorders>
              <w:tl2br w:val="nil"/>
              <w:tr2bl w:val="nil"/>
            </w:tcBorders>
          </w:tcPr>
          <w:p w14:paraId="60781324">
            <w:pPr>
              <w:keepNext w:val="0"/>
              <w:keepLines w:val="0"/>
              <w:widowControl/>
              <w:suppressLineNumbers w:val="0"/>
              <w:spacing w:before="0" w:beforeAutospacing="0" w:after="0" w:afterAutospacing="0"/>
              <w:ind w:left="0" w:right="0"/>
              <w:jc w:val="center"/>
              <w:textAlignment w:val="top"/>
              <w:rPr>
                <w:bCs/>
                <w:szCs w:val="21"/>
              </w:rPr>
            </w:pPr>
            <w:r>
              <w:rPr>
                <w:bCs/>
                <w:szCs w:val="21"/>
              </w:rPr>
              <w:t>2.89</w:t>
            </w:r>
          </w:p>
        </w:tc>
      </w:tr>
      <w:tr w14:paraId="49149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E4B77D6">
            <w:pPr>
              <w:keepNext w:val="0"/>
              <w:keepLines w:val="0"/>
              <w:widowControl/>
              <w:suppressLineNumbers w:val="0"/>
              <w:spacing w:before="0" w:beforeAutospacing="0" w:after="0" w:afterAutospacing="0"/>
              <w:ind w:left="0" w:right="0"/>
              <w:jc w:val="center"/>
              <w:textAlignment w:val="top"/>
              <w:rPr>
                <w:bCs/>
                <w:szCs w:val="21"/>
              </w:rPr>
            </w:pPr>
            <w:r>
              <w:rPr>
                <w:bCs/>
                <w:szCs w:val="21"/>
              </w:rPr>
              <w:t>45</w:t>
            </w:r>
          </w:p>
        </w:tc>
        <w:tc>
          <w:tcPr>
            <w:tcW w:w="2839" w:type="dxa"/>
            <w:tcBorders>
              <w:tl2br w:val="nil"/>
              <w:tr2bl w:val="nil"/>
            </w:tcBorders>
          </w:tcPr>
          <w:p w14:paraId="28B9E229">
            <w:pPr>
              <w:keepNext w:val="0"/>
              <w:keepLines w:val="0"/>
              <w:widowControl/>
              <w:suppressLineNumbers w:val="0"/>
              <w:spacing w:before="0" w:beforeAutospacing="0" w:after="0" w:afterAutospacing="0"/>
              <w:ind w:left="0" w:right="0"/>
              <w:jc w:val="center"/>
              <w:textAlignment w:val="top"/>
              <w:rPr>
                <w:bCs/>
                <w:szCs w:val="21"/>
              </w:rPr>
            </w:pPr>
            <w:r>
              <w:rPr>
                <w:bCs/>
                <w:szCs w:val="21"/>
              </w:rPr>
              <w:t>0.203</w:t>
            </w:r>
          </w:p>
        </w:tc>
        <w:tc>
          <w:tcPr>
            <w:tcW w:w="2841" w:type="dxa"/>
            <w:tcBorders>
              <w:tl2br w:val="nil"/>
              <w:tr2bl w:val="nil"/>
            </w:tcBorders>
          </w:tcPr>
          <w:p w14:paraId="7482B6B4">
            <w:pPr>
              <w:keepNext w:val="0"/>
              <w:keepLines w:val="0"/>
              <w:widowControl/>
              <w:suppressLineNumbers w:val="0"/>
              <w:spacing w:before="0" w:beforeAutospacing="0" w:after="0" w:afterAutospacing="0"/>
              <w:ind w:left="0" w:right="0"/>
              <w:jc w:val="center"/>
              <w:textAlignment w:val="top"/>
              <w:rPr>
                <w:bCs/>
                <w:szCs w:val="21"/>
              </w:rPr>
            </w:pPr>
            <w:r>
              <w:rPr>
                <w:bCs/>
                <w:szCs w:val="21"/>
              </w:rPr>
              <w:t>2.76</w:t>
            </w:r>
          </w:p>
        </w:tc>
      </w:tr>
      <w:tr w14:paraId="0CE91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394A6246">
            <w:pPr>
              <w:keepNext w:val="0"/>
              <w:keepLines w:val="0"/>
              <w:widowControl/>
              <w:suppressLineNumbers w:val="0"/>
              <w:spacing w:before="0" w:beforeAutospacing="0" w:after="0" w:afterAutospacing="0"/>
              <w:ind w:left="0" w:right="0"/>
              <w:jc w:val="center"/>
              <w:textAlignment w:val="top"/>
              <w:rPr>
                <w:bCs/>
                <w:szCs w:val="21"/>
              </w:rPr>
            </w:pPr>
            <w:r>
              <w:rPr>
                <w:bCs/>
                <w:szCs w:val="21"/>
              </w:rPr>
              <w:t>46</w:t>
            </w:r>
          </w:p>
        </w:tc>
        <w:tc>
          <w:tcPr>
            <w:tcW w:w="2839" w:type="dxa"/>
            <w:tcBorders>
              <w:tl2br w:val="nil"/>
              <w:tr2bl w:val="nil"/>
            </w:tcBorders>
          </w:tcPr>
          <w:p w14:paraId="481FD51D">
            <w:pPr>
              <w:keepNext w:val="0"/>
              <w:keepLines w:val="0"/>
              <w:widowControl/>
              <w:suppressLineNumbers w:val="0"/>
              <w:spacing w:before="0" w:beforeAutospacing="0" w:after="0" w:afterAutospacing="0"/>
              <w:ind w:left="0" w:right="0"/>
              <w:jc w:val="center"/>
              <w:textAlignment w:val="top"/>
              <w:rPr>
                <w:bCs/>
                <w:szCs w:val="21"/>
              </w:rPr>
            </w:pPr>
            <w:r>
              <w:rPr>
                <w:bCs/>
                <w:szCs w:val="21"/>
              </w:rPr>
              <w:t>0.197</w:t>
            </w:r>
          </w:p>
        </w:tc>
        <w:tc>
          <w:tcPr>
            <w:tcW w:w="2841" w:type="dxa"/>
            <w:tcBorders>
              <w:tl2br w:val="nil"/>
              <w:tr2bl w:val="nil"/>
            </w:tcBorders>
          </w:tcPr>
          <w:p w14:paraId="27BCBAF8">
            <w:pPr>
              <w:keepNext w:val="0"/>
              <w:keepLines w:val="0"/>
              <w:widowControl/>
              <w:suppressLineNumbers w:val="0"/>
              <w:spacing w:before="0" w:beforeAutospacing="0" w:after="0" w:afterAutospacing="0"/>
              <w:ind w:left="0" w:right="0"/>
              <w:jc w:val="center"/>
              <w:textAlignment w:val="top"/>
              <w:rPr>
                <w:bCs/>
                <w:szCs w:val="21"/>
              </w:rPr>
            </w:pPr>
            <w:r>
              <w:rPr>
                <w:bCs/>
                <w:szCs w:val="21"/>
              </w:rPr>
              <w:t>2.65</w:t>
            </w:r>
          </w:p>
        </w:tc>
      </w:tr>
      <w:tr w14:paraId="76CF5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0F49CE7E">
            <w:pPr>
              <w:keepNext w:val="0"/>
              <w:keepLines w:val="0"/>
              <w:widowControl/>
              <w:suppressLineNumbers w:val="0"/>
              <w:spacing w:before="0" w:beforeAutospacing="0" w:after="0" w:afterAutospacing="0"/>
              <w:ind w:left="0" w:right="0"/>
              <w:jc w:val="center"/>
              <w:textAlignment w:val="top"/>
              <w:rPr>
                <w:bCs/>
                <w:szCs w:val="21"/>
              </w:rPr>
            </w:pPr>
            <w:r>
              <w:rPr>
                <w:bCs/>
                <w:szCs w:val="21"/>
              </w:rPr>
              <w:t>47</w:t>
            </w:r>
          </w:p>
        </w:tc>
        <w:tc>
          <w:tcPr>
            <w:tcW w:w="2839" w:type="dxa"/>
            <w:tcBorders>
              <w:tl2br w:val="nil"/>
              <w:tr2bl w:val="nil"/>
            </w:tcBorders>
          </w:tcPr>
          <w:p w14:paraId="48F2A424">
            <w:pPr>
              <w:keepNext w:val="0"/>
              <w:keepLines w:val="0"/>
              <w:widowControl/>
              <w:suppressLineNumbers w:val="0"/>
              <w:spacing w:before="0" w:beforeAutospacing="0" w:after="0" w:afterAutospacing="0"/>
              <w:ind w:left="0" w:right="0"/>
              <w:jc w:val="center"/>
              <w:textAlignment w:val="top"/>
              <w:rPr>
                <w:bCs/>
                <w:szCs w:val="21"/>
              </w:rPr>
            </w:pPr>
            <w:r>
              <w:rPr>
                <w:bCs/>
                <w:szCs w:val="21"/>
              </w:rPr>
              <w:t>0.192</w:t>
            </w:r>
          </w:p>
        </w:tc>
        <w:tc>
          <w:tcPr>
            <w:tcW w:w="2841" w:type="dxa"/>
            <w:tcBorders>
              <w:tl2br w:val="nil"/>
              <w:tr2bl w:val="nil"/>
            </w:tcBorders>
          </w:tcPr>
          <w:p w14:paraId="0FA0FD07">
            <w:pPr>
              <w:keepNext w:val="0"/>
              <w:keepLines w:val="0"/>
              <w:widowControl/>
              <w:suppressLineNumbers w:val="0"/>
              <w:spacing w:before="0" w:beforeAutospacing="0" w:after="0" w:afterAutospacing="0"/>
              <w:ind w:left="0" w:right="0"/>
              <w:jc w:val="center"/>
              <w:textAlignment w:val="top"/>
              <w:rPr>
                <w:bCs/>
                <w:szCs w:val="21"/>
              </w:rPr>
            </w:pPr>
            <w:r>
              <w:rPr>
                <w:bCs/>
                <w:szCs w:val="21"/>
              </w:rPr>
              <w:t>2.54</w:t>
            </w:r>
          </w:p>
        </w:tc>
      </w:tr>
      <w:tr w14:paraId="0AE4E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55E42C2F">
            <w:pPr>
              <w:keepNext w:val="0"/>
              <w:keepLines w:val="0"/>
              <w:widowControl/>
              <w:suppressLineNumbers w:val="0"/>
              <w:spacing w:before="0" w:beforeAutospacing="0" w:after="0" w:afterAutospacing="0"/>
              <w:ind w:left="0" w:right="0"/>
              <w:jc w:val="center"/>
              <w:textAlignment w:val="top"/>
              <w:rPr>
                <w:bCs/>
                <w:szCs w:val="21"/>
              </w:rPr>
            </w:pPr>
            <w:r>
              <w:rPr>
                <w:bCs/>
                <w:szCs w:val="21"/>
              </w:rPr>
              <w:t>48</w:t>
            </w:r>
          </w:p>
        </w:tc>
        <w:tc>
          <w:tcPr>
            <w:tcW w:w="2839" w:type="dxa"/>
            <w:tcBorders>
              <w:tl2br w:val="nil"/>
              <w:tr2bl w:val="nil"/>
            </w:tcBorders>
          </w:tcPr>
          <w:p w14:paraId="5288244D">
            <w:pPr>
              <w:keepNext w:val="0"/>
              <w:keepLines w:val="0"/>
              <w:widowControl/>
              <w:suppressLineNumbers w:val="0"/>
              <w:spacing w:before="0" w:beforeAutospacing="0" w:after="0" w:afterAutospacing="0"/>
              <w:ind w:left="0" w:right="0"/>
              <w:jc w:val="center"/>
              <w:textAlignment w:val="top"/>
              <w:rPr>
                <w:bCs/>
                <w:szCs w:val="21"/>
              </w:rPr>
            </w:pPr>
            <w:r>
              <w:rPr>
                <w:bCs/>
                <w:szCs w:val="21"/>
              </w:rPr>
              <w:t>0.186</w:t>
            </w:r>
          </w:p>
        </w:tc>
        <w:tc>
          <w:tcPr>
            <w:tcW w:w="2841" w:type="dxa"/>
            <w:tcBorders>
              <w:tl2br w:val="nil"/>
              <w:tr2bl w:val="nil"/>
            </w:tcBorders>
          </w:tcPr>
          <w:p w14:paraId="47AEF353">
            <w:pPr>
              <w:keepNext w:val="0"/>
              <w:keepLines w:val="0"/>
              <w:widowControl/>
              <w:suppressLineNumbers w:val="0"/>
              <w:spacing w:before="0" w:beforeAutospacing="0" w:after="0" w:afterAutospacing="0"/>
              <w:ind w:left="0" w:right="0"/>
              <w:jc w:val="center"/>
              <w:textAlignment w:val="top"/>
              <w:rPr>
                <w:bCs/>
                <w:szCs w:val="21"/>
              </w:rPr>
            </w:pPr>
            <w:r>
              <w:rPr>
                <w:bCs/>
                <w:szCs w:val="21"/>
              </w:rPr>
              <w:t>2.44</w:t>
            </w:r>
          </w:p>
        </w:tc>
      </w:tr>
      <w:tr w14:paraId="400BA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4C8EB55B">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rFonts w:hint="eastAsia" w:ascii="宋体" w:hAnsi="宋体" w:cs="宋体"/>
                <w:kern w:val="0"/>
                <w:sz w:val="20"/>
                <w:szCs w:val="20"/>
              </w:rPr>
              <w:t>最大值</w:t>
            </w:r>
            <w:r>
              <w:rPr>
                <w:kern w:val="0"/>
                <w:sz w:val="20"/>
                <w:szCs w:val="20"/>
              </w:rPr>
              <w:t>(kV/m)</w:t>
            </w:r>
          </w:p>
        </w:tc>
        <w:tc>
          <w:tcPr>
            <w:tcW w:w="2839" w:type="dxa"/>
            <w:tcBorders>
              <w:tl2br w:val="nil"/>
              <w:tr2bl w:val="nil"/>
            </w:tcBorders>
          </w:tcPr>
          <w:p w14:paraId="0C93716B">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kern w:val="0"/>
                <w:sz w:val="20"/>
                <w:szCs w:val="20"/>
              </w:rPr>
              <w:t>7.035</w:t>
            </w:r>
          </w:p>
        </w:tc>
        <w:tc>
          <w:tcPr>
            <w:tcW w:w="2841" w:type="dxa"/>
            <w:tcBorders>
              <w:tl2br w:val="nil"/>
              <w:tr2bl w:val="nil"/>
            </w:tcBorders>
          </w:tcPr>
          <w:p w14:paraId="766BD5FC">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kern w:val="0"/>
                <w:sz w:val="20"/>
                <w:szCs w:val="20"/>
              </w:rPr>
              <w:t>32.37</w:t>
            </w:r>
          </w:p>
        </w:tc>
      </w:tr>
      <w:tr w14:paraId="558A9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tcBorders>
              <w:tl2br w:val="nil"/>
              <w:tr2bl w:val="nil"/>
            </w:tcBorders>
          </w:tcPr>
          <w:p w14:paraId="12E6D0A2">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rFonts w:hint="eastAsia" w:ascii="宋体" w:hAnsi="宋体" w:cs="宋体"/>
                <w:kern w:val="0"/>
                <w:sz w:val="20"/>
                <w:szCs w:val="20"/>
              </w:rPr>
              <w:t>最大值处距线路走廊中心距离</w:t>
            </w:r>
            <w:r>
              <w:rPr>
                <w:kern w:val="0"/>
                <w:sz w:val="20"/>
                <w:szCs w:val="20"/>
              </w:rPr>
              <w:t>(m)</w:t>
            </w:r>
          </w:p>
        </w:tc>
        <w:tc>
          <w:tcPr>
            <w:tcW w:w="2839" w:type="dxa"/>
            <w:tcBorders>
              <w:tl2br w:val="nil"/>
              <w:tr2bl w:val="nil"/>
            </w:tcBorders>
          </w:tcPr>
          <w:p w14:paraId="4BD178A8">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kern w:val="0"/>
                <w:sz w:val="20"/>
                <w:szCs w:val="20"/>
              </w:rPr>
              <w:t>-6.6</w:t>
            </w:r>
          </w:p>
        </w:tc>
        <w:tc>
          <w:tcPr>
            <w:tcW w:w="2841" w:type="dxa"/>
            <w:tcBorders>
              <w:tl2br w:val="nil"/>
              <w:tr2bl w:val="nil"/>
            </w:tcBorders>
          </w:tcPr>
          <w:p w14:paraId="6A284C7B">
            <w:pPr>
              <w:keepNext w:val="0"/>
              <w:keepLines w:val="0"/>
              <w:widowControl/>
              <w:suppressLineNumbers w:val="0"/>
              <w:spacing w:before="0" w:beforeAutospacing="0" w:after="0" w:afterAutospacing="0"/>
              <w:ind w:left="0" w:right="0"/>
              <w:jc w:val="center"/>
              <w:textAlignment w:val="top"/>
              <w:rPr>
                <w:rFonts w:ascii="宋体" w:hAnsi="宋体" w:cs="宋体"/>
                <w:szCs w:val="21"/>
              </w:rPr>
            </w:pPr>
            <w:r>
              <w:rPr>
                <w:kern w:val="0"/>
                <w:sz w:val="20"/>
                <w:szCs w:val="20"/>
              </w:rPr>
              <w:t>-7.9</w:t>
            </w:r>
          </w:p>
        </w:tc>
      </w:tr>
    </w:tbl>
    <w:p w14:paraId="35F1B09B">
      <w:pPr>
        <w:rPr>
          <w:color w:val="00B050"/>
        </w:rPr>
      </w:pPr>
    </w:p>
    <w:p w14:paraId="137B94F0">
      <w:pPr>
        <w:pStyle w:val="44"/>
        <w:jc w:val="center"/>
        <w:rPr>
          <w:color w:val="00B050"/>
        </w:rPr>
      </w:pPr>
      <w:r>
        <w:rPr>
          <w:color w:val="00B050"/>
        </w:rPr>
        <w:drawing>
          <wp:inline distT="0" distB="0" distL="114300" distR="114300">
            <wp:extent cx="4826000" cy="2743200"/>
            <wp:effectExtent l="4445" t="4445" r="8255" b="14605"/>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EFC6760">
      <w:pPr>
        <w:spacing w:line="360" w:lineRule="auto"/>
        <w:jc w:val="center"/>
        <w:rPr>
          <w:rFonts w:ascii="宋体" w:hAnsi="宋体"/>
          <w:b/>
          <w:sz w:val="21"/>
          <w:szCs w:val="21"/>
        </w:rPr>
      </w:pPr>
      <w:r>
        <w:rPr>
          <w:rFonts w:hint="eastAsia" w:ascii="宋体" w:hAnsi="宋体"/>
          <w:b/>
          <w:sz w:val="21"/>
          <w:szCs w:val="21"/>
        </w:rPr>
        <w:t>图</w:t>
      </w:r>
      <w:r>
        <w:rPr>
          <w:b/>
          <w:sz w:val="21"/>
          <w:szCs w:val="21"/>
        </w:rPr>
        <w:t>3.2-3</w:t>
      </w:r>
      <w:r>
        <w:rPr>
          <w:rFonts w:hint="eastAsia"/>
          <w:b/>
          <w:sz w:val="21"/>
          <w:szCs w:val="21"/>
          <w:lang w:val="en-US" w:eastAsia="zh-CN"/>
        </w:rPr>
        <w:t xml:space="preserve">   </w:t>
      </w:r>
      <w:r>
        <w:rPr>
          <w:rFonts w:hint="eastAsia" w:ascii="宋体" w:hAnsi="宋体"/>
          <w:b/>
          <w:sz w:val="21"/>
          <w:szCs w:val="21"/>
        </w:rPr>
        <w:t xml:space="preserve"> 同塔双回(</w:t>
      </w:r>
      <w:r>
        <w:rPr>
          <w:rFonts w:hint="eastAsia"/>
          <w:b/>
          <w:sz w:val="21"/>
          <w:szCs w:val="21"/>
        </w:rPr>
        <w:t>220-GD22S-DJ</w:t>
      </w:r>
      <w:r>
        <w:rPr>
          <w:rFonts w:hint="eastAsia" w:ascii="宋体" w:hAnsi="宋体"/>
          <w:b/>
          <w:sz w:val="21"/>
          <w:szCs w:val="21"/>
        </w:rPr>
        <w:t>塔型)工频电场强度贡献值分布曲线</w:t>
      </w:r>
    </w:p>
    <w:p w14:paraId="061D47A9">
      <w:pPr>
        <w:pStyle w:val="44"/>
        <w:jc w:val="center"/>
      </w:pPr>
    </w:p>
    <w:p w14:paraId="61F48B4A">
      <w:pPr>
        <w:snapToGrid w:val="0"/>
        <w:spacing w:line="360" w:lineRule="auto"/>
        <w:jc w:val="center"/>
      </w:pPr>
      <w:r>
        <w:drawing>
          <wp:inline distT="0" distB="0" distL="114300" distR="114300">
            <wp:extent cx="4826000" cy="2743200"/>
            <wp:effectExtent l="4445" t="4445" r="8255" b="14605"/>
            <wp:docPr id="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8B449A1">
      <w:pPr>
        <w:snapToGrid w:val="0"/>
        <w:spacing w:line="360" w:lineRule="auto"/>
        <w:jc w:val="center"/>
        <w:rPr>
          <w:rFonts w:ascii="宋体" w:hAnsi="宋体"/>
          <w:b/>
          <w:sz w:val="21"/>
          <w:szCs w:val="21"/>
        </w:rPr>
      </w:pPr>
      <w:r>
        <w:rPr>
          <w:rFonts w:hint="eastAsia" w:ascii="宋体" w:hAnsi="宋体"/>
          <w:b/>
          <w:sz w:val="21"/>
          <w:szCs w:val="21"/>
        </w:rPr>
        <w:t>图</w:t>
      </w:r>
      <w:r>
        <w:rPr>
          <w:rFonts w:hint="eastAsia"/>
          <w:b/>
          <w:sz w:val="21"/>
          <w:szCs w:val="21"/>
        </w:rPr>
        <w:t>3.2-4</w:t>
      </w:r>
      <w:r>
        <w:rPr>
          <w:rFonts w:hint="eastAsia"/>
          <w:b/>
          <w:sz w:val="21"/>
          <w:szCs w:val="21"/>
          <w:lang w:val="en-US" w:eastAsia="zh-CN"/>
        </w:rPr>
        <w:t xml:space="preserve">   </w:t>
      </w:r>
      <w:r>
        <w:rPr>
          <w:rFonts w:hint="eastAsia" w:ascii="宋体" w:hAnsi="宋体"/>
          <w:b/>
          <w:sz w:val="21"/>
          <w:szCs w:val="21"/>
        </w:rPr>
        <w:t xml:space="preserve"> 同塔双回(</w:t>
      </w:r>
      <w:r>
        <w:rPr>
          <w:rFonts w:hint="eastAsia"/>
          <w:b/>
          <w:sz w:val="21"/>
          <w:szCs w:val="21"/>
        </w:rPr>
        <w:t>220-GD22S-DJ</w:t>
      </w:r>
      <w:r>
        <w:rPr>
          <w:rFonts w:hint="eastAsia" w:ascii="宋体" w:hAnsi="宋体"/>
          <w:b/>
          <w:sz w:val="21"/>
          <w:szCs w:val="21"/>
        </w:rPr>
        <w:t>塔型)工频磁感应强度贡献值分布曲线</w:t>
      </w:r>
    </w:p>
    <w:p w14:paraId="38FBE9E9">
      <w:pPr>
        <w:spacing w:line="360" w:lineRule="auto"/>
        <w:rPr>
          <w:rFonts w:ascii="宋体" w:hAnsi="宋体"/>
          <w:sz w:val="24"/>
        </w:rPr>
      </w:pPr>
      <w:r>
        <w:rPr>
          <w:rFonts w:hint="eastAsia"/>
          <w:b/>
          <w:sz w:val="24"/>
        </w:rPr>
        <w:t>3.2.4</w:t>
      </w:r>
      <w:r>
        <w:rPr>
          <w:rFonts w:hint="eastAsia" w:ascii="宋体" w:hAnsi="宋体"/>
          <w:b/>
          <w:kern w:val="15"/>
          <w:sz w:val="24"/>
        </w:rPr>
        <w:t xml:space="preserve"> 线路</w:t>
      </w:r>
      <w:r>
        <w:rPr>
          <w:rFonts w:hint="eastAsia"/>
          <w:b/>
          <w:sz w:val="24"/>
        </w:rPr>
        <w:t>4kV/m</w:t>
      </w:r>
      <w:r>
        <w:rPr>
          <w:rFonts w:hint="eastAsia" w:ascii="宋体" w:hAnsi="宋体"/>
          <w:b/>
          <w:kern w:val="15"/>
          <w:sz w:val="24"/>
        </w:rPr>
        <w:t>等值线</w:t>
      </w:r>
    </w:p>
    <w:p w14:paraId="24FAB8FC">
      <w:pPr>
        <w:adjustRightInd w:val="0"/>
        <w:snapToGrid w:val="0"/>
        <w:spacing w:line="360" w:lineRule="auto"/>
        <w:ind w:firstLine="480" w:firstLineChars="200"/>
        <w:rPr>
          <w:rFonts w:ascii="宋体" w:hAnsi="宋体"/>
          <w:sz w:val="24"/>
        </w:rPr>
      </w:pPr>
      <w:r>
        <w:rPr>
          <w:rFonts w:hint="eastAsia" w:ascii="宋体" w:hAnsi="宋体"/>
          <w:sz w:val="24"/>
        </w:rPr>
        <w:t>本次评价对线路</w:t>
      </w:r>
      <w:r>
        <w:rPr>
          <w:rFonts w:hint="eastAsia" w:ascii="宋体" w:hAnsi="宋体" w:cs="宋体"/>
          <w:sz w:val="24"/>
        </w:rPr>
        <w:t>线下离地</w:t>
      </w:r>
      <w:r>
        <w:rPr>
          <w:sz w:val="24"/>
        </w:rPr>
        <w:t>1.5m</w:t>
      </w:r>
      <w:r>
        <w:rPr>
          <w:rFonts w:hint="eastAsia" w:ascii="宋体" w:hAnsi="宋体" w:cs="宋体"/>
          <w:sz w:val="24"/>
        </w:rPr>
        <w:t>处</w:t>
      </w:r>
      <w:r>
        <w:rPr>
          <w:rFonts w:hint="eastAsia" w:ascii="宋体" w:hAnsi="宋体"/>
          <w:sz w:val="24"/>
        </w:rPr>
        <w:t>的工频电场强度</w:t>
      </w:r>
      <w:r>
        <w:rPr>
          <w:rFonts w:hint="eastAsia"/>
          <w:sz w:val="24"/>
        </w:rPr>
        <w:t>4kV/m</w:t>
      </w:r>
      <w:r>
        <w:rPr>
          <w:rFonts w:hint="eastAsia" w:ascii="宋体" w:hAnsi="宋体"/>
          <w:sz w:val="24"/>
        </w:rPr>
        <w:t>等值线进行预测计算，单回路电场强度等值线数据，见表</w:t>
      </w:r>
      <w:r>
        <w:rPr>
          <w:rFonts w:hint="eastAsia"/>
          <w:sz w:val="24"/>
        </w:rPr>
        <w:t>3.2-5</w:t>
      </w:r>
      <w:r>
        <w:rPr>
          <w:rFonts w:hint="eastAsia" w:ascii="宋体" w:hAnsi="宋体"/>
          <w:sz w:val="24"/>
        </w:rPr>
        <w:t>，双回路电场强度等值线数据，见表</w:t>
      </w:r>
      <w:r>
        <w:rPr>
          <w:rFonts w:hint="eastAsia"/>
          <w:sz w:val="24"/>
        </w:rPr>
        <w:t>3.2-6</w:t>
      </w:r>
      <w:r>
        <w:rPr>
          <w:rFonts w:hint="eastAsia" w:ascii="宋体" w:hAnsi="宋体"/>
          <w:sz w:val="24"/>
        </w:rPr>
        <w:t>。单回路</w:t>
      </w:r>
      <w:r>
        <w:rPr>
          <w:rFonts w:ascii="宋体" w:hAnsi="宋体"/>
          <w:sz w:val="24"/>
        </w:rPr>
        <w:t>电场强度等值线</w:t>
      </w:r>
      <w:r>
        <w:rPr>
          <w:rFonts w:hint="eastAsia" w:ascii="宋体" w:hAnsi="宋体"/>
          <w:sz w:val="24"/>
        </w:rPr>
        <w:t>见</w:t>
      </w:r>
      <w:r>
        <w:rPr>
          <w:rFonts w:ascii="宋体" w:hAnsi="宋体"/>
          <w:sz w:val="24"/>
        </w:rPr>
        <w:t>图</w:t>
      </w:r>
      <w:r>
        <w:rPr>
          <w:rFonts w:hint="eastAsia"/>
          <w:sz w:val="24"/>
        </w:rPr>
        <w:t>3.2-5</w:t>
      </w:r>
      <w:r>
        <w:rPr>
          <w:rFonts w:hint="eastAsia" w:ascii="宋体" w:hAnsi="宋体"/>
          <w:sz w:val="24"/>
        </w:rPr>
        <w:t>，双回路</w:t>
      </w:r>
      <w:r>
        <w:rPr>
          <w:rFonts w:ascii="宋体" w:hAnsi="宋体"/>
          <w:sz w:val="24"/>
        </w:rPr>
        <w:t>电场强度等值线</w:t>
      </w:r>
      <w:r>
        <w:rPr>
          <w:rFonts w:hint="eastAsia" w:ascii="宋体" w:hAnsi="宋体"/>
          <w:sz w:val="24"/>
        </w:rPr>
        <w:t>见</w:t>
      </w:r>
      <w:r>
        <w:rPr>
          <w:rFonts w:ascii="宋体" w:hAnsi="宋体"/>
          <w:sz w:val="24"/>
        </w:rPr>
        <w:t>图</w:t>
      </w:r>
      <w:r>
        <w:rPr>
          <w:rFonts w:hint="eastAsia"/>
          <w:sz w:val="24"/>
        </w:rPr>
        <w:t>3.2-6</w:t>
      </w:r>
      <w:r>
        <w:rPr>
          <w:rFonts w:ascii="宋体" w:hAnsi="宋体"/>
          <w:sz w:val="24"/>
        </w:rPr>
        <w:t>。</w:t>
      </w:r>
    </w:p>
    <w:p w14:paraId="5D0BFC2A">
      <w:pPr>
        <w:jc w:val="center"/>
        <w:rPr>
          <w:b/>
          <w:sz w:val="21"/>
          <w:szCs w:val="21"/>
        </w:rPr>
      </w:pPr>
      <w:r>
        <w:rPr>
          <w:rFonts w:hint="eastAsia" w:ascii="宋体" w:hAnsi="宋体" w:cs="宋体"/>
          <w:b/>
          <w:bCs/>
          <w:sz w:val="21"/>
          <w:szCs w:val="21"/>
          <w:lang w:val="en-US" w:eastAsia="zh-CN"/>
        </w:rPr>
        <w:t xml:space="preserve">             </w:t>
      </w:r>
      <w:r>
        <w:rPr>
          <w:rFonts w:hint="eastAsia" w:ascii="宋体" w:hAnsi="宋体" w:cs="宋体"/>
          <w:b/>
          <w:bCs/>
          <w:sz w:val="21"/>
          <w:szCs w:val="21"/>
        </w:rPr>
        <w:t>表</w:t>
      </w:r>
      <w:r>
        <w:rPr>
          <w:rFonts w:hint="eastAsia"/>
          <w:b/>
          <w:sz w:val="21"/>
          <w:szCs w:val="21"/>
        </w:rPr>
        <w:t xml:space="preserve">3.2-5 </w:t>
      </w:r>
      <w:r>
        <w:rPr>
          <w:rFonts w:hint="eastAsia" w:ascii="宋体" w:hAnsi="宋体" w:cs="宋体"/>
          <w:b/>
          <w:bCs/>
          <w:sz w:val="21"/>
          <w:szCs w:val="21"/>
        </w:rPr>
        <w:t xml:space="preserve">  单回路</w:t>
      </w:r>
      <w:r>
        <w:rPr>
          <w:rFonts w:hint="eastAsia"/>
          <w:b/>
          <w:sz w:val="21"/>
          <w:szCs w:val="21"/>
        </w:rPr>
        <w:t>4kV/m</w:t>
      </w:r>
      <w:r>
        <w:rPr>
          <w:rFonts w:hint="eastAsia" w:ascii="宋体" w:hAnsi="宋体" w:cs="宋体"/>
          <w:b/>
          <w:bCs/>
          <w:sz w:val="21"/>
          <w:szCs w:val="21"/>
        </w:rPr>
        <w:t>电场强度等值线数据表          单位：</w:t>
      </w:r>
      <w:r>
        <w:rPr>
          <w:rFonts w:hint="eastAsia"/>
          <w:b/>
          <w:sz w:val="21"/>
          <w:szCs w:val="21"/>
        </w:rPr>
        <w:t>m</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2550"/>
        <w:gridCol w:w="2742"/>
      </w:tblGrid>
      <w:tr w14:paraId="0A2C1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vMerge w:val="restart"/>
            <w:tcBorders>
              <w:tl2br w:val="nil"/>
              <w:tr2bl w:val="nil"/>
            </w:tcBorders>
            <w:vAlign w:val="center"/>
          </w:tcPr>
          <w:p w14:paraId="5F71FBF8">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导线对地最小线高(</w:t>
            </w:r>
            <w:r>
              <w:rPr>
                <w:rFonts w:eastAsiaTheme="minorEastAsia"/>
                <w:bCs/>
                <w:szCs w:val="21"/>
              </w:rPr>
              <w:t>m</w:t>
            </w:r>
            <w:r>
              <w:rPr>
                <w:rFonts w:hint="eastAsia" w:asciiTheme="minorEastAsia" w:hAnsiTheme="minorEastAsia" w:eastAsiaTheme="minorEastAsia" w:cstheme="minorEastAsia"/>
                <w:bCs/>
                <w:szCs w:val="21"/>
              </w:rPr>
              <w:t>)</w:t>
            </w:r>
          </w:p>
        </w:tc>
        <w:tc>
          <w:tcPr>
            <w:tcW w:w="5292" w:type="dxa"/>
            <w:gridSpan w:val="2"/>
            <w:tcBorders>
              <w:tl2br w:val="nil"/>
              <w:tr2bl w:val="nil"/>
            </w:tcBorders>
            <w:vAlign w:val="center"/>
          </w:tcPr>
          <w:p w14:paraId="0199291D">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距线路走廊中心距离(</w:t>
            </w:r>
            <w:r>
              <w:rPr>
                <w:rFonts w:hint="eastAsia" w:eastAsiaTheme="minorEastAsia"/>
                <w:bCs/>
                <w:szCs w:val="21"/>
              </w:rPr>
              <w:t>m</w:t>
            </w:r>
            <w:r>
              <w:rPr>
                <w:rFonts w:hint="eastAsia" w:asciiTheme="minorEastAsia" w:hAnsiTheme="minorEastAsia" w:eastAsiaTheme="minorEastAsia" w:cstheme="minorEastAsia"/>
                <w:bCs/>
                <w:szCs w:val="21"/>
              </w:rPr>
              <w:t>)</w:t>
            </w:r>
          </w:p>
        </w:tc>
      </w:tr>
      <w:tr w14:paraId="56400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vMerge w:val="continue"/>
            <w:tcBorders>
              <w:tl2br w:val="nil"/>
              <w:tr2bl w:val="nil"/>
            </w:tcBorders>
            <w:vAlign w:val="center"/>
          </w:tcPr>
          <w:p w14:paraId="0E5C7174">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p>
        </w:tc>
        <w:tc>
          <w:tcPr>
            <w:tcW w:w="2550" w:type="dxa"/>
            <w:tcBorders>
              <w:tl2br w:val="nil"/>
              <w:tr2bl w:val="nil"/>
            </w:tcBorders>
            <w:vAlign w:val="center"/>
          </w:tcPr>
          <w:p w14:paraId="4BFFCBC1">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左侧</w:t>
            </w:r>
          </w:p>
        </w:tc>
        <w:tc>
          <w:tcPr>
            <w:tcW w:w="2742" w:type="dxa"/>
            <w:tcBorders>
              <w:tl2br w:val="nil"/>
              <w:tr2bl w:val="nil"/>
            </w:tcBorders>
            <w:vAlign w:val="center"/>
          </w:tcPr>
          <w:p w14:paraId="026A5FD6">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右侧</w:t>
            </w:r>
          </w:p>
        </w:tc>
      </w:tr>
      <w:tr w14:paraId="2577C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tcPr>
          <w:p w14:paraId="341ECBC8">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9.9</w:t>
            </w:r>
          </w:p>
        </w:tc>
        <w:tc>
          <w:tcPr>
            <w:tcW w:w="2550" w:type="dxa"/>
            <w:tcBorders>
              <w:tl2br w:val="nil"/>
              <w:tr2bl w:val="nil"/>
            </w:tcBorders>
          </w:tcPr>
          <w:p w14:paraId="2632A248">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-8.00</w:t>
            </w:r>
          </w:p>
        </w:tc>
        <w:tc>
          <w:tcPr>
            <w:tcW w:w="2742" w:type="dxa"/>
            <w:tcBorders>
              <w:tl2br w:val="nil"/>
              <w:tr2bl w:val="nil"/>
            </w:tcBorders>
            <w:vAlign w:val="center"/>
          </w:tcPr>
          <w:p w14:paraId="56339EDC">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r>
      <w:tr w14:paraId="5EFC7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634C9EF5">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9.5</w:t>
            </w:r>
          </w:p>
        </w:tc>
        <w:tc>
          <w:tcPr>
            <w:tcW w:w="2550" w:type="dxa"/>
            <w:tcBorders>
              <w:tl2br w:val="nil"/>
              <w:tr2bl w:val="nil"/>
            </w:tcBorders>
          </w:tcPr>
          <w:p w14:paraId="675A99D1">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-9.80</w:t>
            </w:r>
          </w:p>
        </w:tc>
        <w:tc>
          <w:tcPr>
            <w:tcW w:w="2742" w:type="dxa"/>
            <w:tcBorders>
              <w:tl2br w:val="nil"/>
              <w:tr2bl w:val="nil"/>
            </w:tcBorders>
            <w:vAlign w:val="center"/>
          </w:tcPr>
          <w:p w14:paraId="6CA05628">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r>
      <w:tr w14:paraId="786B7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4590CD32">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9.0</w:t>
            </w:r>
          </w:p>
        </w:tc>
        <w:tc>
          <w:tcPr>
            <w:tcW w:w="2550" w:type="dxa"/>
            <w:tcBorders>
              <w:tl2br w:val="nil"/>
              <w:tr2bl w:val="nil"/>
            </w:tcBorders>
          </w:tcPr>
          <w:p w14:paraId="2150C831">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-10.76</w:t>
            </w:r>
          </w:p>
        </w:tc>
        <w:tc>
          <w:tcPr>
            <w:tcW w:w="2742" w:type="dxa"/>
            <w:tcBorders>
              <w:tl2br w:val="nil"/>
              <w:tr2bl w:val="nil"/>
            </w:tcBorders>
            <w:vAlign w:val="center"/>
          </w:tcPr>
          <w:p w14:paraId="02CC713F">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r>
      <w:tr w14:paraId="6C14F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0D7FEC68">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8.8</w:t>
            </w:r>
          </w:p>
        </w:tc>
        <w:tc>
          <w:tcPr>
            <w:tcW w:w="2550" w:type="dxa"/>
            <w:tcBorders>
              <w:tl2br w:val="nil"/>
              <w:tr2bl w:val="nil"/>
            </w:tcBorders>
            <w:vAlign w:val="center"/>
          </w:tcPr>
          <w:p w14:paraId="64A58340">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bCs/>
                <w:szCs w:val="21"/>
              </w:rPr>
            </w:pPr>
            <w:r>
              <w:rPr>
                <w:rFonts w:hint="eastAsia" w:asciiTheme="minorEastAsia" w:hAnsiTheme="minorEastAsia" w:eastAsiaTheme="minorEastAsia" w:cstheme="minorEastAsia"/>
                <w:kern w:val="0"/>
                <w:szCs w:val="21"/>
              </w:rPr>
              <w:t>/</w:t>
            </w:r>
          </w:p>
        </w:tc>
        <w:tc>
          <w:tcPr>
            <w:tcW w:w="2742" w:type="dxa"/>
            <w:tcBorders>
              <w:tl2br w:val="nil"/>
              <w:tr2bl w:val="nil"/>
            </w:tcBorders>
            <w:vAlign w:val="center"/>
          </w:tcPr>
          <w:p w14:paraId="651A47D2">
            <w:pPr>
              <w:keepNext w:val="0"/>
              <w:keepLines w:val="0"/>
              <w:widowControl/>
              <w:suppressLineNumbers w:val="0"/>
              <w:spacing w:before="0" w:beforeAutospacing="0" w:after="0" w:afterAutospacing="0"/>
              <w:ind w:left="0" w:right="0"/>
              <w:jc w:val="center"/>
              <w:textAlignment w:val="top"/>
              <w:rPr>
                <w:rFonts w:asciiTheme="minorEastAsia" w:hAnsiTheme="minorEastAsia" w:eastAsiaTheme="minorEastAsia" w:cstheme="minorEastAsia"/>
                <w:bCs/>
                <w:szCs w:val="21"/>
              </w:rPr>
            </w:pPr>
            <w:r>
              <w:rPr>
                <w:sz w:val="20"/>
              </w:rPr>
              <w:t>7.80</w:t>
            </w:r>
          </w:p>
        </w:tc>
      </w:tr>
      <w:tr w14:paraId="63115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533487B1">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8.5</w:t>
            </w:r>
          </w:p>
        </w:tc>
        <w:tc>
          <w:tcPr>
            <w:tcW w:w="2550" w:type="dxa"/>
            <w:tcBorders>
              <w:tl2br w:val="nil"/>
              <w:tr2bl w:val="nil"/>
            </w:tcBorders>
          </w:tcPr>
          <w:p w14:paraId="093D2F4E">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-11.39</w:t>
            </w:r>
          </w:p>
        </w:tc>
        <w:tc>
          <w:tcPr>
            <w:tcW w:w="2742" w:type="dxa"/>
            <w:tcBorders>
              <w:tl2br w:val="nil"/>
              <w:tr2bl w:val="nil"/>
            </w:tcBorders>
          </w:tcPr>
          <w:p w14:paraId="397B8AC2">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9.44</w:t>
            </w:r>
          </w:p>
        </w:tc>
      </w:tr>
      <w:tr w14:paraId="46344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17077EAA">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8.0</w:t>
            </w:r>
          </w:p>
        </w:tc>
        <w:tc>
          <w:tcPr>
            <w:tcW w:w="2550" w:type="dxa"/>
            <w:tcBorders>
              <w:tl2br w:val="nil"/>
              <w:tr2bl w:val="nil"/>
            </w:tcBorders>
          </w:tcPr>
          <w:p w14:paraId="4E1513C7">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-11.86</w:t>
            </w:r>
          </w:p>
        </w:tc>
        <w:tc>
          <w:tcPr>
            <w:tcW w:w="2742" w:type="dxa"/>
            <w:tcBorders>
              <w:tl2br w:val="nil"/>
              <w:tr2bl w:val="nil"/>
            </w:tcBorders>
          </w:tcPr>
          <w:p w14:paraId="3A891006">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10.34</w:t>
            </w:r>
          </w:p>
        </w:tc>
      </w:tr>
      <w:tr w14:paraId="32F05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10C30A23">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7.5</w:t>
            </w:r>
          </w:p>
        </w:tc>
        <w:tc>
          <w:tcPr>
            <w:tcW w:w="2550" w:type="dxa"/>
            <w:tcBorders>
              <w:tl2br w:val="nil"/>
              <w:tr2bl w:val="nil"/>
            </w:tcBorders>
          </w:tcPr>
          <w:p w14:paraId="14EE34D3">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-12.21</w:t>
            </w:r>
          </w:p>
        </w:tc>
        <w:tc>
          <w:tcPr>
            <w:tcW w:w="2742" w:type="dxa"/>
            <w:tcBorders>
              <w:tl2br w:val="nil"/>
              <w:tr2bl w:val="nil"/>
            </w:tcBorders>
          </w:tcPr>
          <w:p w14:paraId="2D6DA446">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10.92</w:t>
            </w:r>
          </w:p>
        </w:tc>
      </w:tr>
      <w:tr w14:paraId="1B658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47ACB586">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7.0</w:t>
            </w:r>
          </w:p>
        </w:tc>
        <w:tc>
          <w:tcPr>
            <w:tcW w:w="2550" w:type="dxa"/>
            <w:tcBorders>
              <w:tl2br w:val="nil"/>
              <w:tr2bl w:val="nil"/>
            </w:tcBorders>
          </w:tcPr>
          <w:p w14:paraId="1E0DD82A">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-12.49</w:t>
            </w:r>
          </w:p>
        </w:tc>
        <w:tc>
          <w:tcPr>
            <w:tcW w:w="2742" w:type="dxa"/>
            <w:tcBorders>
              <w:tl2br w:val="nil"/>
              <w:tr2bl w:val="nil"/>
            </w:tcBorders>
          </w:tcPr>
          <w:p w14:paraId="4D947A54">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11.34</w:t>
            </w:r>
          </w:p>
        </w:tc>
      </w:tr>
      <w:tr w14:paraId="2D6CB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0" w:type="dxa"/>
            <w:tcBorders>
              <w:tl2br w:val="nil"/>
              <w:tr2bl w:val="nil"/>
            </w:tcBorders>
            <w:shd w:val="clear" w:color="auto" w:fill="auto"/>
          </w:tcPr>
          <w:p w14:paraId="1CAB1551">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6.5</w:t>
            </w:r>
          </w:p>
        </w:tc>
        <w:tc>
          <w:tcPr>
            <w:tcW w:w="2550" w:type="dxa"/>
            <w:tcBorders>
              <w:tl2br w:val="nil"/>
              <w:tr2bl w:val="nil"/>
            </w:tcBorders>
          </w:tcPr>
          <w:p w14:paraId="398151A0">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-12.69</w:t>
            </w:r>
          </w:p>
        </w:tc>
        <w:tc>
          <w:tcPr>
            <w:tcW w:w="2742" w:type="dxa"/>
            <w:tcBorders>
              <w:tl2br w:val="nil"/>
              <w:tr2bl w:val="nil"/>
            </w:tcBorders>
          </w:tcPr>
          <w:p w14:paraId="059A6D44">
            <w:pPr>
              <w:keepNext w:val="0"/>
              <w:keepLines w:val="0"/>
              <w:suppressLineNumbers w:val="0"/>
              <w:spacing w:before="0" w:beforeAutospacing="0" w:after="0" w:afterAutospacing="0"/>
              <w:ind w:left="0" w:right="0"/>
              <w:jc w:val="center"/>
              <w:rPr>
                <w:rFonts w:asciiTheme="minorEastAsia" w:hAnsiTheme="minorEastAsia" w:eastAsiaTheme="minorEastAsia" w:cstheme="minorEastAsia"/>
                <w:bCs/>
                <w:szCs w:val="21"/>
              </w:rPr>
            </w:pPr>
            <w:r>
              <w:rPr>
                <w:sz w:val="20"/>
              </w:rPr>
              <w:t>11.65</w:t>
            </w:r>
          </w:p>
        </w:tc>
      </w:tr>
    </w:tbl>
    <w:p w14:paraId="32B05195">
      <w:pPr>
        <w:keepNext w:val="0"/>
        <w:keepLines w:val="0"/>
        <w:pageBreakBefore w:val="0"/>
        <w:widowControl w:val="0"/>
        <w:kinsoku/>
        <w:wordWrap/>
        <w:overflowPunct/>
        <w:topLinePunct w:val="0"/>
        <w:autoSpaceDE/>
        <w:autoSpaceDN/>
        <w:bidi w:val="0"/>
        <w:adjustRightInd/>
        <w:snapToGrid/>
        <w:spacing w:before="157" w:beforeLines="50"/>
        <w:ind w:firstLine="1897" w:firstLineChars="900"/>
        <w:textAlignment w:val="auto"/>
        <w:rPr>
          <w:sz w:val="21"/>
          <w:szCs w:val="21"/>
        </w:rPr>
      </w:pPr>
      <w:r>
        <w:rPr>
          <w:rFonts w:hint="eastAsia" w:ascii="宋体" w:hAnsi="宋体" w:cs="宋体"/>
          <w:b/>
          <w:bCs/>
          <w:sz w:val="21"/>
          <w:szCs w:val="21"/>
        </w:rPr>
        <w:t>表</w:t>
      </w:r>
      <w:r>
        <w:rPr>
          <w:b/>
          <w:bCs/>
          <w:sz w:val="21"/>
          <w:szCs w:val="21"/>
        </w:rPr>
        <w:t xml:space="preserve">3.3-6 </w:t>
      </w:r>
      <w:r>
        <w:rPr>
          <w:rFonts w:hint="eastAsia" w:ascii="宋体" w:hAnsi="宋体" w:cs="宋体"/>
          <w:b/>
          <w:bCs/>
          <w:sz w:val="21"/>
          <w:szCs w:val="21"/>
        </w:rPr>
        <w:t xml:space="preserve">   双回路</w:t>
      </w:r>
      <w:r>
        <w:rPr>
          <w:rFonts w:hint="eastAsia"/>
          <w:b/>
          <w:bCs/>
          <w:sz w:val="21"/>
          <w:szCs w:val="21"/>
        </w:rPr>
        <w:t>4kV/m</w:t>
      </w:r>
      <w:r>
        <w:rPr>
          <w:rFonts w:hint="eastAsia" w:ascii="宋体" w:hAnsi="宋体" w:cs="宋体"/>
          <w:b/>
          <w:bCs/>
          <w:sz w:val="21"/>
          <w:szCs w:val="21"/>
        </w:rPr>
        <w:t>电场强度等值线数据表          单位：</w:t>
      </w:r>
      <w:r>
        <w:rPr>
          <w:rFonts w:hint="eastAsia"/>
          <w:b/>
          <w:bCs/>
          <w:sz w:val="21"/>
          <w:szCs w:val="21"/>
        </w:rPr>
        <w:t>m</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2550"/>
        <w:gridCol w:w="2742"/>
      </w:tblGrid>
      <w:tr w14:paraId="2100D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vMerge w:val="restart"/>
            <w:tcBorders>
              <w:tl2br w:val="nil"/>
              <w:tr2bl w:val="nil"/>
            </w:tcBorders>
            <w:vAlign w:val="center"/>
          </w:tcPr>
          <w:p w14:paraId="45E7A2F8">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导线对地最小线高(</w:t>
            </w:r>
            <w:r>
              <w:rPr>
                <w:bCs/>
                <w:szCs w:val="21"/>
              </w:rPr>
              <w:t>m</w:t>
            </w:r>
            <w:r>
              <w:rPr>
                <w:rFonts w:hint="eastAsia" w:ascii="宋体" w:hAnsi="宋体" w:cs="宋体"/>
                <w:bCs/>
                <w:szCs w:val="21"/>
              </w:rPr>
              <w:t>)</w:t>
            </w:r>
          </w:p>
        </w:tc>
        <w:tc>
          <w:tcPr>
            <w:tcW w:w="5292" w:type="dxa"/>
            <w:gridSpan w:val="2"/>
            <w:tcBorders>
              <w:tl2br w:val="nil"/>
              <w:tr2bl w:val="nil"/>
            </w:tcBorders>
            <w:vAlign w:val="center"/>
          </w:tcPr>
          <w:p w14:paraId="517F4E11">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距线路走廊中心距离(</w:t>
            </w:r>
            <w:r>
              <w:rPr>
                <w:rFonts w:hint="eastAsia"/>
                <w:bCs/>
                <w:szCs w:val="21"/>
              </w:rPr>
              <w:t>m</w:t>
            </w:r>
            <w:r>
              <w:rPr>
                <w:rFonts w:hint="eastAsia" w:ascii="宋体" w:hAnsi="宋体" w:cs="宋体"/>
                <w:bCs/>
                <w:szCs w:val="21"/>
              </w:rPr>
              <w:t>)</w:t>
            </w:r>
          </w:p>
        </w:tc>
      </w:tr>
      <w:tr w14:paraId="53CA9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vMerge w:val="continue"/>
            <w:tcBorders>
              <w:tl2br w:val="nil"/>
              <w:tr2bl w:val="nil"/>
            </w:tcBorders>
            <w:vAlign w:val="center"/>
          </w:tcPr>
          <w:p w14:paraId="6D128E2E">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p>
        </w:tc>
        <w:tc>
          <w:tcPr>
            <w:tcW w:w="2550" w:type="dxa"/>
            <w:tcBorders>
              <w:tl2br w:val="nil"/>
              <w:tr2bl w:val="nil"/>
            </w:tcBorders>
            <w:vAlign w:val="center"/>
          </w:tcPr>
          <w:p w14:paraId="34CE0FA9">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左侧</w:t>
            </w:r>
          </w:p>
        </w:tc>
        <w:tc>
          <w:tcPr>
            <w:tcW w:w="2742" w:type="dxa"/>
            <w:tcBorders>
              <w:tl2br w:val="nil"/>
              <w:tr2bl w:val="nil"/>
            </w:tcBorders>
            <w:vAlign w:val="center"/>
          </w:tcPr>
          <w:p w14:paraId="2C7D3EA6">
            <w:pPr>
              <w:keepNext w:val="0"/>
              <w:keepLines w:val="0"/>
              <w:suppressLineNumbers w:val="0"/>
              <w:adjustRightInd w:val="0"/>
              <w:snapToGrid w:val="0"/>
              <w:spacing w:before="0" w:beforeAutospacing="0" w:after="0" w:afterAutospacing="0"/>
              <w:ind w:left="0" w:right="0"/>
              <w:jc w:val="center"/>
              <w:rPr>
                <w:rFonts w:ascii="宋体" w:hAnsi="宋体" w:cs="宋体"/>
                <w:bCs/>
                <w:szCs w:val="21"/>
              </w:rPr>
            </w:pPr>
            <w:r>
              <w:rPr>
                <w:rFonts w:hint="eastAsia" w:ascii="宋体" w:hAnsi="宋体" w:cs="宋体"/>
                <w:bCs/>
                <w:szCs w:val="21"/>
              </w:rPr>
              <w:t>右侧</w:t>
            </w:r>
          </w:p>
        </w:tc>
      </w:tr>
      <w:tr w14:paraId="7F3A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579E919D">
            <w:pPr>
              <w:keepNext w:val="0"/>
              <w:keepLines w:val="0"/>
              <w:suppressLineNumbers w:val="0"/>
              <w:spacing w:before="0" w:beforeAutospacing="0" w:after="0" w:afterAutospacing="0"/>
              <w:ind w:left="0" w:right="0"/>
              <w:jc w:val="center"/>
              <w:rPr>
                <w:bCs/>
                <w:szCs w:val="21"/>
              </w:rPr>
            </w:pPr>
            <w:r>
              <w:rPr>
                <w:bCs/>
                <w:szCs w:val="21"/>
              </w:rPr>
              <w:t>10.0</w:t>
            </w:r>
          </w:p>
        </w:tc>
        <w:tc>
          <w:tcPr>
            <w:tcW w:w="2550" w:type="dxa"/>
            <w:tcBorders>
              <w:tl2br w:val="nil"/>
              <w:tr2bl w:val="nil"/>
            </w:tcBorders>
          </w:tcPr>
          <w:p w14:paraId="7F1BF7F7">
            <w:pPr>
              <w:keepNext w:val="0"/>
              <w:keepLines w:val="0"/>
              <w:suppressLineNumbers w:val="0"/>
              <w:spacing w:before="0" w:beforeAutospacing="0" w:after="0" w:afterAutospacing="0"/>
              <w:ind w:left="0" w:right="0"/>
              <w:jc w:val="center"/>
              <w:rPr>
                <w:bCs/>
                <w:szCs w:val="21"/>
              </w:rPr>
            </w:pPr>
            <w:r>
              <w:rPr>
                <w:bCs/>
                <w:szCs w:val="21"/>
              </w:rPr>
              <w:t>-5.61</w:t>
            </w:r>
          </w:p>
        </w:tc>
        <w:tc>
          <w:tcPr>
            <w:tcW w:w="2742" w:type="dxa"/>
            <w:tcBorders>
              <w:tl2br w:val="nil"/>
              <w:tr2bl w:val="nil"/>
            </w:tcBorders>
          </w:tcPr>
          <w:p w14:paraId="075E1FBF">
            <w:pPr>
              <w:keepNext w:val="0"/>
              <w:keepLines w:val="0"/>
              <w:widowControl/>
              <w:suppressLineNumbers w:val="0"/>
              <w:spacing w:before="0" w:beforeAutospacing="0" w:after="0" w:afterAutospacing="0"/>
              <w:ind w:left="0" w:right="0"/>
              <w:jc w:val="center"/>
              <w:textAlignment w:val="top"/>
              <w:rPr>
                <w:bCs/>
                <w:szCs w:val="21"/>
              </w:rPr>
            </w:pPr>
            <w:r>
              <w:rPr>
                <w:bCs/>
                <w:szCs w:val="21"/>
              </w:rPr>
              <w:t>5.61</w:t>
            </w:r>
          </w:p>
        </w:tc>
      </w:tr>
      <w:tr w14:paraId="564DE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07CE5CE2">
            <w:pPr>
              <w:keepNext w:val="0"/>
              <w:keepLines w:val="0"/>
              <w:suppressLineNumbers w:val="0"/>
              <w:spacing w:before="0" w:beforeAutospacing="0" w:after="0" w:afterAutospacing="0"/>
              <w:ind w:left="0" w:right="0"/>
              <w:jc w:val="center"/>
              <w:rPr>
                <w:bCs/>
                <w:szCs w:val="21"/>
              </w:rPr>
            </w:pPr>
            <w:r>
              <w:rPr>
                <w:bCs/>
                <w:szCs w:val="21"/>
              </w:rPr>
              <w:t>9.5</w:t>
            </w:r>
          </w:p>
        </w:tc>
        <w:tc>
          <w:tcPr>
            <w:tcW w:w="2550" w:type="dxa"/>
            <w:tcBorders>
              <w:tl2br w:val="nil"/>
              <w:tr2bl w:val="nil"/>
            </w:tcBorders>
          </w:tcPr>
          <w:p w14:paraId="2A059FD4">
            <w:pPr>
              <w:keepNext w:val="0"/>
              <w:keepLines w:val="0"/>
              <w:suppressLineNumbers w:val="0"/>
              <w:spacing w:before="0" w:beforeAutospacing="0" w:after="0" w:afterAutospacing="0"/>
              <w:ind w:left="0" w:right="0"/>
              <w:jc w:val="center"/>
              <w:rPr>
                <w:bCs/>
                <w:szCs w:val="21"/>
              </w:rPr>
            </w:pPr>
            <w:r>
              <w:rPr>
                <w:bCs/>
                <w:szCs w:val="21"/>
              </w:rPr>
              <w:t>-7.92</w:t>
            </w:r>
          </w:p>
        </w:tc>
        <w:tc>
          <w:tcPr>
            <w:tcW w:w="2742" w:type="dxa"/>
            <w:tcBorders>
              <w:tl2br w:val="nil"/>
              <w:tr2bl w:val="nil"/>
            </w:tcBorders>
          </w:tcPr>
          <w:p w14:paraId="2168CA60">
            <w:pPr>
              <w:keepNext w:val="0"/>
              <w:keepLines w:val="0"/>
              <w:widowControl/>
              <w:suppressLineNumbers w:val="0"/>
              <w:spacing w:before="0" w:beforeAutospacing="0" w:after="0" w:afterAutospacing="0"/>
              <w:ind w:left="0" w:right="0"/>
              <w:jc w:val="center"/>
              <w:textAlignment w:val="top"/>
              <w:rPr>
                <w:bCs/>
                <w:szCs w:val="21"/>
              </w:rPr>
            </w:pPr>
            <w:r>
              <w:rPr>
                <w:bCs/>
                <w:szCs w:val="21"/>
              </w:rPr>
              <w:t>7.92</w:t>
            </w:r>
          </w:p>
        </w:tc>
      </w:tr>
      <w:tr w14:paraId="6A6DC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03BC987A">
            <w:pPr>
              <w:keepNext w:val="0"/>
              <w:keepLines w:val="0"/>
              <w:suppressLineNumbers w:val="0"/>
              <w:spacing w:before="0" w:beforeAutospacing="0" w:after="0" w:afterAutospacing="0"/>
              <w:ind w:left="0" w:right="0"/>
              <w:jc w:val="center"/>
              <w:rPr>
                <w:bCs/>
                <w:szCs w:val="21"/>
              </w:rPr>
            </w:pPr>
            <w:r>
              <w:rPr>
                <w:bCs/>
                <w:szCs w:val="21"/>
              </w:rPr>
              <w:t>9.0</w:t>
            </w:r>
          </w:p>
        </w:tc>
        <w:tc>
          <w:tcPr>
            <w:tcW w:w="2550" w:type="dxa"/>
            <w:tcBorders>
              <w:tl2br w:val="nil"/>
              <w:tr2bl w:val="nil"/>
            </w:tcBorders>
          </w:tcPr>
          <w:p w14:paraId="7B474ADC">
            <w:pPr>
              <w:keepNext w:val="0"/>
              <w:keepLines w:val="0"/>
              <w:suppressLineNumbers w:val="0"/>
              <w:spacing w:before="0" w:beforeAutospacing="0" w:after="0" w:afterAutospacing="0"/>
              <w:ind w:left="0" w:right="0"/>
              <w:jc w:val="center"/>
              <w:rPr>
                <w:bCs/>
                <w:szCs w:val="21"/>
              </w:rPr>
            </w:pPr>
            <w:r>
              <w:rPr>
                <w:bCs/>
                <w:szCs w:val="21"/>
              </w:rPr>
              <w:t>-8.85</w:t>
            </w:r>
          </w:p>
        </w:tc>
        <w:tc>
          <w:tcPr>
            <w:tcW w:w="2742" w:type="dxa"/>
            <w:tcBorders>
              <w:tl2br w:val="nil"/>
              <w:tr2bl w:val="nil"/>
            </w:tcBorders>
          </w:tcPr>
          <w:p w14:paraId="33A6B5ED">
            <w:pPr>
              <w:keepNext w:val="0"/>
              <w:keepLines w:val="0"/>
              <w:widowControl/>
              <w:suppressLineNumbers w:val="0"/>
              <w:spacing w:before="0" w:beforeAutospacing="0" w:after="0" w:afterAutospacing="0"/>
              <w:ind w:left="0" w:right="0"/>
              <w:jc w:val="center"/>
              <w:textAlignment w:val="top"/>
              <w:rPr>
                <w:bCs/>
                <w:szCs w:val="21"/>
              </w:rPr>
            </w:pPr>
            <w:r>
              <w:rPr>
                <w:bCs/>
                <w:szCs w:val="21"/>
              </w:rPr>
              <w:t>8.85</w:t>
            </w:r>
          </w:p>
        </w:tc>
      </w:tr>
      <w:tr w14:paraId="61C49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763E07A9">
            <w:pPr>
              <w:keepNext w:val="0"/>
              <w:keepLines w:val="0"/>
              <w:suppressLineNumbers w:val="0"/>
              <w:spacing w:before="0" w:beforeAutospacing="0" w:after="0" w:afterAutospacing="0"/>
              <w:ind w:left="0" w:right="0"/>
              <w:jc w:val="center"/>
              <w:rPr>
                <w:bCs/>
                <w:szCs w:val="21"/>
              </w:rPr>
            </w:pPr>
            <w:r>
              <w:rPr>
                <w:bCs/>
                <w:szCs w:val="21"/>
              </w:rPr>
              <w:t>8.5</w:t>
            </w:r>
          </w:p>
        </w:tc>
        <w:tc>
          <w:tcPr>
            <w:tcW w:w="2550" w:type="dxa"/>
            <w:tcBorders>
              <w:tl2br w:val="nil"/>
              <w:tr2bl w:val="nil"/>
            </w:tcBorders>
          </w:tcPr>
          <w:p w14:paraId="7562CE06">
            <w:pPr>
              <w:keepNext w:val="0"/>
              <w:keepLines w:val="0"/>
              <w:suppressLineNumbers w:val="0"/>
              <w:spacing w:before="0" w:beforeAutospacing="0" w:after="0" w:afterAutospacing="0"/>
              <w:ind w:left="0" w:right="0"/>
              <w:jc w:val="center"/>
              <w:rPr>
                <w:bCs/>
                <w:szCs w:val="21"/>
              </w:rPr>
            </w:pPr>
            <w:r>
              <w:rPr>
                <w:bCs/>
                <w:szCs w:val="21"/>
              </w:rPr>
              <w:t>-9.51</w:t>
            </w:r>
          </w:p>
        </w:tc>
        <w:tc>
          <w:tcPr>
            <w:tcW w:w="2742" w:type="dxa"/>
            <w:tcBorders>
              <w:tl2br w:val="nil"/>
              <w:tr2bl w:val="nil"/>
            </w:tcBorders>
          </w:tcPr>
          <w:p w14:paraId="245D33FB">
            <w:pPr>
              <w:keepNext w:val="0"/>
              <w:keepLines w:val="0"/>
              <w:widowControl/>
              <w:suppressLineNumbers w:val="0"/>
              <w:spacing w:before="0" w:beforeAutospacing="0" w:after="0" w:afterAutospacing="0"/>
              <w:ind w:left="0" w:right="0"/>
              <w:jc w:val="center"/>
              <w:textAlignment w:val="top"/>
              <w:rPr>
                <w:bCs/>
                <w:szCs w:val="21"/>
              </w:rPr>
            </w:pPr>
            <w:r>
              <w:rPr>
                <w:bCs/>
                <w:szCs w:val="21"/>
              </w:rPr>
              <w:t>9.51</w:t>
            </w:r>
          </w:p>
        </w:tc>
      </w:tr>
      <w:tr w14:paraId="34033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082476C2">
            <w:pPr>
              <w:keepNext w:val="0"/>
              <w:keepLines w:val="0"/>
              <w:suppressLineNumbers w:val="0"/>
              <w:spacing w:before="0" w:beforeAutospacing="0" w:after="0" w:afterAutospacing="0"/>
              <w:ind w:left="0" w:right="0"/>
              <w:jc w:val="center"/>
              <w:rPr>
                <w:bCs/>
                <w:szCs w:val="21"/>
              </w:rPr>
            </w:pPr>
            <w:r>
              <w:rPr>
                <w:bCs/>
                <w:szCs w:val="21"/>
              </w:rPr>
              <w:t>8.0</w:t>
            </w:r>
          </w:p>
        </w:tc>
        <w:tc>
          <w:tcPr>
            <w:tcW w:w="2550" w:type="dxa"/>
            <w:tcBorders>
              <w:tl2br w:val="nil"/>
              <w:tr2bl w:val="nil"/>
            </w:tcBorders>
          </w:tcPr>
          <w:p w14:paraId="19E71169">
            <w:pPr>
              <w:keepNext w:val="0"/>
              <w:keepLines w:val="0"/>
              <w:suppressLineNumbers w:val="0"/>
              <w:spacing w:before="0" w:beforeAutospacing="0" w:after="0" w:afterAutospacing="0"/>
              <w:ind w:left="0" w:right="0"/>
              <w:jc w:val="center"/>
              <w:rPr>
                <w:bCs/>
                <w:szCs w:val="21"/>
              </w:rPr>
            </w:pPr>
            <w:r>
              <w:rPr>
                <w:bCs/>
                <w:szCs w:val="21"/>
              </w:rPr>
              <w:t>-10.01</w:t>
            </w:r>
          </w:p>
        </w:tc>
        <w:tc>
          <w:tcPr>
            <w:tcW w:w="2742" w:type="dxa"/>
            <w:tcBorders>
              <w:tl2br w:val="nil"/>
              <w:tr2bl w:val="nil"/>
            </w:tcBorders>
          </w:tcPr>
          <w:p w14:paraId="11916E79">
            <w:pPr>
              <w:keepNext w:val="0"/>
              <w:keepLines w:val="0"/>
              <w:widowControl/>
              <w:suppressLineNumbers w:val="0"/>
              <w:spacing w:before="0" w:beforeAutospacing="0" w:after="0" w:afterAutospacing="0"/>
              <w:ind w:left="0" w:right="0"/>
              <w:jc w:val="center"/>
              <w:textAlignment w:val="top"/>
              <w:rPr>
                <w:bCs/>
                <w:szCs w:val="21"/>
              </w:rPr>
            </w:pPr>
            <w:r>
              <w:rPr>
                <w:bCs/>
                <w:szCs w:val="21"/>
              </w:rPr>
              <w:t>10.01</w:t>
            </w:r>
          </w:p>
        </w:tc>
      </w:tr>
      <w:tr w14:paraId="4F8F7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006B53EE">
            <w:pPr>
              <w:keepNext w:val="0"/>
              <w:keepLines w:val="0"/>
              <w:suppressLineNumbers w:val="0"/>
              <w:spacing w:before="0" w:beforeAutospacing="0" w:after="0" w:afterAutospacing="0"/>
              <w:ind w:left="0" w:right="0"/>
              <w:jc w:val="center"/>
              <w:rPr>
                <w:bCs/>
                <w:szCs w:val="21"/>
              </w:rPr>
            </w:pPr>
            <w:r>
              <w:rPr>
                <w:bCs/>
                <w:szCs w:val="21"/>
              </w:rPr>
              <w:t>7.5</w:t>
            </w:r>
          </w:p>
        </w:tc>
        <w:tc>
          <w:tcPr>
            <w:tcW w:w="2550" w:type="dxa"/>
            <w:tcBorders>
              <w:tl2br w:val="nil"/>
              <w:tr2bl w:val="nil"/>
            </w:tcBorders>
          </w:tcPr>
          <w:p w14:paraId="10094372">
            <w:pPr>
              <w:keepNext w:val="0"/>
              <w:keepLines w:val="0"/>
              <w:suppressLineNumbers w:val="0"/>
              <w:spacing w:before="0" w:beforeAutospacing="0" w:after="0" w:afterAutospacing="0"/>
              <w:ind w:left="0" w:right="0"/>
              <w:jc w:val="center"/>
              <w:rPr>
                <w:bCs/>
                <w:szCs w:val="21"/>
              </w:rPr>
            </w:pPr>
            <w:r>
              <w:rPr>
                <w:bCs/>
                <w:szCs w:val="21"/>
              </w:rPr>
              <w:t>-10.40</w:t>
            </w:r>
          </w:p>
        </w:tc>
        <w:tc>
          <w:tcPr>
            <w:tcW w:w="2742" w:type="dxa"/>
            <w:tcBorders>
              <w:tl2br w:val="nil"/>
              <w:tr2bl w:val="nil"/>
            </w:tcBorders>
          </w:tcPr>
          <w:p w14:paraId="196C8F92">
            <w:pPr>
              <w:keepNext w:val="0"/>
              <w:keepLines w:val="0"/>
              <w:widowControl/>
              <w:suppressLineNumbers w:val="0"/>
              <w:spacing w:before="0" w:beforeAutospacing="0" w:after="0" w:afterAutospacing="0"/>
              <w:ind w:left="0" w:right="0"/>
              <w:jc w:val="center"/>
              <w:textAlignment w:val="top"/>
              <w:rPr>
                <w:bCs/>
                <w:szCs w:val="21"/>
              </w:rPr>
            </w:pPr>
            <w:r>
              <w:rPr>
                <w:bCs/>
                <w:szCs w:val="21"/>
              </w:rPr>
              <w:t>10.4</w:t>
            </w:r>
          </w:p>
        </w:tc>
      </w:tr>
      <w:tr w14:paraId="6CF1F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39EE70F2">
            <w:pPr>
              <w:keepNext w:val="0"/>
              <w:keepLines w:val="0"/>
              <w:suppressLineNumbers w:val="0"/>
              <w:spacing w:before="0" w:beforeAutospacing="0" w:after="0" w:afterAutospacing="0"/>
              <w:ind w:left="0" w:right="0"/>
              <w:jc w:val="center"/>
              <w:rPr>
                <w:bCs/>
                <w:szCs w:val="21"/>
              </w:rPr>
            </w:pPr>
            <w:r>
              <w:rPr>
                <w:bCs/>
                <w:szCs w:val="21"/>
              </w:rPr>
              <w:t>7.0</w:t>
            </w:r>
          </w:p>
        </w:tc>
        <w:tc>
          <w:tcPr>
            <w:tcW w:w="2550" w:type="dxa"/>
            <w:tcBorders>
              <w:tl2br w:val="nil"/>
              <w:tr2bl w:val="nil"/>
            </w:tcBorders>
          </w:tcPr>
          <w:p w14:paraId="35225C08">
            <w:pPr>
              <w:keepNext w:val="0"/>
              <w:keepLines w:val="0"/>
              <w:suppressLineNumbers w:val="0"/>
              <w:spacing w:before="0" w:beforeAutospacing="0" w:after="0" w:afterAutospacing="0"/>
              <w:ind w:left="0" w:right="0"/>
              <w:jc w:val="center"/>
              <w:rPr>
                <w:bCs/>
                <w:szCs w:val="21"/>
              </w:rPr>
            </w:pPr>
            <w:r>
              <w:rPr>
                <w:bCs/>
                <w:szCs w:val="21"/>
              </w:rPr>
              <w:t>-10.72</w:t>
            </w:r>
          </w:p>
        </w:tc>
        <w:tc>
          <w:tcPr>
            <w:tcW w:w="2742" w:type="dxa"/>
            <w:tcBorders>
              <w:tl2br w:val="nil"/>
              <w:tr2bl w:val="nil"/>
            </w:tcBorders>
          </w:tcPr>
          <w:p w14:paraId="3E14963D">
            <w:pPr>
              <w:keepNext w:val="0"/>
              <w:keepLines w:val="0"/>
              <w:widowControl/>
              <w:suppressLineNumbers w:val="0"/>
              <w:spacing w:before="0" w:beforeAutospacing="0" w:after="0" w:afterAutospacing="0"/>
              <w:ind w:left="0" w:right="0"/>
              <w:jc w:val="center"/>
              <w:textAlignment w:val="top"/>
              <w:rPr>
                <w:bCs/>
                <w:szCs w:val="21"/>
              </w:rPr>
            </w:pPr>
            <w:r>
              <w:rPr>
                <w:bCs/>
                <w:szCs w:val="21"/>
              </w:rPr>
              <w:t>10.72</w:t>
            </w:r>
          </w:p>
        </w:tc>
      </w:tr>
      <w:tr w14:paraId="386BA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0" w:type="dxa"/>
            <w:tcBorders>
              <w:tl2br w:val="nil"/>
              <w:tr2bl w:val="nil"/>
            </w:tcBorders>
          </w:tcPr>
          <w:p w14:paraId="2D70FFA0">
            <w:pPr>
              <w:keepNext w:val="0"/>
              <w:keepLines w:val="0"/>
              <w:suppressLineNumbers w:val="0"/>
              <w:spacing w:before="0" w:beforeAutospacing="0" w:after="0" w:afterAutospacing="0"/>
              <w:ind w:left="0" w:right="0"/>
              <w:jc w:val="center"/>
              <w:rPr>
                <w:bCs/>
                <w:szCs w:val="21"/>
              </w:rPr>
            </w:pPr>
            <w:r>
              <w:rPr>
                <w:bCs/>
                <w:szCs w:val="21"/>
              </w:rPr>
              <w:t>6.5</w:t>
            </w:r>
          </w:p>
        </w:tc>
        <w:tc>
          <w:tcPr>
            <w:tcW w:w="2550" w:type="dxa"/>
            <w:tcBorders>
              <w:tl2br w:val="nil"/>
              <w:tr2bl w:val="nil"/>
            </w:tcBorders>
          </w:tcPr>
          <w:p w14:paraId="40B2F636">
            <w:pPr>
              <w:keepNext w:val="0"/>
              <w:keepLines w:val="0"/>
              <w:suppressLineNumbers w:val="0"/>
              <w:spacing w:before="0" w:beforeAutospacing="0" w:after="0" w:afterAutospacing="0"/>
              <w:ind w:left="0" w:right="0"/>
              <w:jc w:val="center"/>
              <w:rPr>
                <w:bCs/>
                <w:szCs w:val="21"/>
              </w:rPr>
            </w:pPr>
            <w:r>
              <w:rPr>
                <w:bCs/>
                <w:szCs w:val="21"/>
              </w:rPr>
              <w:t>-10.97</w:t>
            </w:r>
          </w:p>
        </w:tc>
        <w:tc>
          <w:tcPr>
            <w:tcW w:w="2742" w:type="dxa"/>
            <w:tcBorders>
              <w:tl2br w:val="nil"/>
              <w:tr2bl w:val="nil"/>
            </w:tcBorders>
          </w:tcPr>
          <w:p w14:paraId="265465E6">
            <w:pPr>
              <w:keepNext w:val="0"/>
              <w:keepLines w:val="0"/>
              <w:widowControl/>
              <w:suppressLineNumbers w:val="0"/>
              <w:spacing w:before="0" w:beforeAutospacing="0" w:after="0" w:afterAutospacing="0"/>
              <w:ind w:left="0" w:right="0"/>
              <w:jc w:val="center"/>
              <w:textAlignment w:val="top"/>
              <w:rPr>
                <w:bCs/>
                <w:szCs w:val="21"/>
              </w:rPr>
            </w:pPr>
            <w:r>
              <w:rPr>
                <w:bCs/>
                <w:szCs w:val="21"/>
              </w:rPr>
              <w:t>10.97</w:t>
            </w:r>
          </w:p>
        </w:tc>
      </w:tr>
    </w:tbl>
    <w:p w14:paraId="3608226D">
      <w:pPr>
        <w:rPr>
          <w:color w:val="00B050"/>
        </w:rPr>
      </w:pPr>
    </w:p>
    <w:p w14:paraId="1DCFE555">
      <w:pPr>
        <w:rPr>
          <w:color w:val="00B050"/>
        </w:rPr>
      </w:pPr>
    </w:p>
    <w:p w14:paraId="45896005">
      <w:pPr>
        <w:jc w:val="center"/>
        <w:rPr>
          <w:color w:val="00B050"/>
          <w:sz w:val="20"/>
        </w:rPr>
      </w:pPr>
      <w:r>
        <w:drawing>
          <wp:inline distT="0" distB="0" distL="114300" distR="114300">
            <wp:extent cx="4826000" cy="2743200"/>
            <wp:effectExtent l="4445" t="4445" r="8255" b="14605"/>
            <wp:docPr id="3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CA6ED8B">
      <w:pPr>
        <w:jc w:val="center"/>
        <w:rPr>
          <w:rFonts w:ascii="宋体" w:hAnsi="宋体"/>
          <w:b/>
          <w:sz w:val="21"/>
          <w:szCs w:val="21"/>
        </w:rPr>
      </w:pPr>
      <w:r>
        <w:rPr>
          <w:rFonts w:hint="eastAsia" w:ascii="宋体" w:hAnsi="宋体"/>
          <w:b/>
          <w:sz w:val="21"/>
          <w:szCs w:val="21"/>
        </w:rPr>
        <w:t>图</w:t>
      </w:r>
      <w:r>
        <w:rPr>
          <w:b/>
          <w:sz w:val="21"/>
          <w:szCs w:val="21"/>
        </w:rPr>
        <w:t>3.2-5</w:t>
      </w:r>
      <w:r>
        <w:rPr>
          <w:rFonts w:ascii="宋体" w:hAnsi="宋体"/>
          <w:b/>
          <w:sz w:val="21"/>
          <w:szCs w:val="21"/>
        </w:rPr>
        <w:t xml:space="preserve"> </w:t>
      </w:r>
      <w:r>
        <w:rPr>
          <w:rFonts w:hint="eastAsia" w:ascii="宋体" w:hAnsi="宋体"/>
          <w:b/>
          <w:sz w:val="21"/>
          <w:szCs w:val="21"/>
          <w:lang w:val="en-US" w:eastAsia="zh-CN"/>
        </w:rPr>
        <w:t xml:space="preserve">   </w:t>
      </w:r>
      <w:r>
        <w:rPr>
          <w:rFonts w:ascii="宋体" w:hAnsi="宋体"/>
          <w:b/>
          <w:sz w:val="21"/>
          <w:szCs w:val="21"/>
        </w:rPr>
        <w:t>电场强度等值线图</w:t>
      </w:r>
      <w:r>
        <w:rPr>
          <w:rFonts w:hint="eastAsia" w:ascii="宋体" w:hAnsi="宋体"/>
          <w:b/>
          <w:sz w:val="21"/>
          <w:szCs w:val="21"/>
        </w:rPr>
        <w:t>(单回路)</w:t>
      </w:r>
    </w:p>
    <w:p w14:paraId="4D768DEB">
      <w:pPr>
        <w:pStyle w:val="44"/>
        <w:rPr>
          <w:rFonts w:ascii="Times New Roman" w:hAnsi="Times New Roman" w:eastAsia="宋体"/>
          <w:b w:val="0"/>
          <w:sz w:val="24"/>
        </w:rPr>
      </w:pPr>
    </w:p>
    <w:p w14:paraId="130B51DC">
      <w:pPr>
        <w:pStyle w:val="44"/>
      </w:pPr>
      <w:r>
        <w:drawing>
          <wp:inline distT="0" distB="0" distL="114300" distR="114300">
            <wp:extent cx="4826000" cy="2724150"/>
            <wp:effectExtent l="4445" t="4445" r="8255" b="14605"/>
            <wp:docPr id="8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9787AFF">
      <w:pPr>
        <w:jc w:val="center"/>
        <w:rPr>
          <w:rFonts w:ascii="宋体" w:hAnsi="宋体"/>
          <w:b/>
          <w:sz w:val="24"/>
        </w:rPr>
      </w:pPr>
    </w:p>
    <w:p w14:paraId="678B1D56">
      <w:pPr>
        <w:jc w:val="center"/>
        <w:rPr>
          <w:sz w:val="21"/>
          <w:szCs w:val="21"/>
        </w:rPr>
      </w:pPr>
      <w:r>
        <w:rPr>
          <w:rFonts w:hint="eastAsia" w:ascii="宋体" w:hAnsi="宋体"/>
          <w:b/>
          <w:sz w:val="21"/>
          <w:szCs w:val="21"/>
        </w:rPr>
        <w:t>图</w:t>
      </w:r>
      <w:r>
        <w:rPr>
          <w:b/>
          <w:sz w:val="21"/>
          <w:szCs w:val="21"/>
        </w:rPr>
        <w:t>3.2-6</w:t>
      </w:r>
      <w:r>
        <w:rPr>
          <w:rFonts w:hint="eastAsia"/>
          <w:b/>
          <w:sz w:val="21"/>
          <w:szCs w:val="21"/>
          <w:lang w:val="en-US" w:eastAsia="zh-CN"/>
        </w:rPr>
        <w:t xml:space="preserve">   </w:t>
      </w:r>
      <w:r>
        <w:rPr>
          <w:b/>
          <w:sz w:val="21"/>
          <w:szCs w:val="21"/>
        </w:rPr>
        <w:t xml:space="preserve"> </w:t>
      </w:r>
      <w:r>
        <w:rPr>
          <w:rFonts w:ascii="宋体" w:hAnsi="宋体"/>
          <w:b/>
          <w:sz w:val="21"/>
          <w:szCs w:val="21"/>
        </w:rPr>
        <w:t>电场强度等值线图</w:t>
      </w:r>
      <w:r>
        <w:rPr>
          <w:rFonts w:hint="eastAsia" w:ascii="宋体" w:hAnsi="宋体"/>
          <w:b/>
          <w:sz w:val="21"/>
          <w:szCs w:val="21"/>
        </w:rPr>
        <w:t>(双回路)</w:t>
      </w:r>
    </w:p>
    <w:p w14:paraId="360FCDA2">
      <w:pPr>
        <w:spacing w:line="360" w:lineRule="auto"/>
        <w:outlineLvl w:val="2"/>
        <w:rPr>
          <w:rFonts w:hint="eastAsia" w:ascii="宋体" w:hAnsi="宋体" w:eastAsia="宋体"/>
          <w:b/>
          <w:kern w:val="15"/>
          <w:sz w:val="24"/>
          <w:szCs w:val="20"/>
          <w:lang w:val="en-US" w:eastAsia="zh-CN"/>
        </w:rPr>
      </w:pPr>
      <w:r>
        <w:rPr>
          <w:b/>
          <w:kern w:val="15"/>
          <w:sz w:val="24"/>
        </w:rPr>
        <w:t>3.3</w:t>
      </w:r>
      <w:r>
        <w:rPr>
          <w:rFonts w:hint="eastAsia" w:ascii="宋体" w:hAnsi="宋体"/>
          <w:b/>
          <w:kern w:val="15"/>
          <w:sz w:val="24"/>
        </w:rPr>
        <w:t>计算结果分析</w:t>
      </w:r>
      <w:r>
        <w:rPr>
          <w:rFonts w:hint="eastAsia" w:ascii="宋体" w:hAnsi="宋体"/>
          <w:b/>
          <w:kern w:val="15"/>
          <w:sz w:val="24"/>
          <w:lang w:val="en-US" w:eastAsia="zh-CN"/>
        </w:rPr>
        <w:t xml:space="preserve"> </w:t>
      </w:r>
    </w:p>
    <w:p w14:paraId="785AC890">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sz w:val="24"/>
        </w:rPr>
        <w:t>1</w:t>
      </w:r>
      <w:r>
        <w:rPr>
          <w:rFonts w:hint="eastAsia" w:ascii="宋体" w:hAnsi="宋体" w:cs="宋体"/>
          <w:sz w:val="24"/>
        </w:rPr>
        <w:t>)线路预测结果分析(单回路)</w:t>
      </w:r>
    </w:p>
    <w:p w14:paraId="2A289E94">
      <w:pPr>
        <w:adjustRightInd w:val="0"/>
        <w:snapToGrid w:val="0"/>
        <w:spacing w:line="360" w:lineRule="auto"/>
        <w:ind w:firstLine="480" w:firstLineChars="200"/>
        <w:rPr>
          <w:rFonts w:ascii="宋体" w:hAnsi="宋体" w:cs="宋体"/>
          <w:sz w:val="24"/>
        </w:rPr>
      </w:pPr>
      <w:r>
        <w:rPr>
          <w:rFonts w:hint="eastAsia" w:ascii="宋体" w:hAnsi="宋体" w:cs="宋体"/>
          <w:sz w:val="24"/>
        </w:rPr>
        <w:t>根据预测结果分析可知，当线高按</w:t>
      </w:r>
      <w:r>
        <w:rPr>
          <w:rFonts w:hint="eastAsia"/>
          <w:sz w:val="24"/>
        </w:rPr>
        <w:t>6.5m</w:t>
      </w:r>
      <w:r>
        <w:rPr>
          <w:rFonts w:hint="eastAsia" w:ascii="宋体" w:hAnsi="宋体" w:cs="宋体"/>
          <w:sz w:val="24"/>
        </w:rPr>
        <w:t>经过非居民区，单回路线路</w:t>
      </w:r>
      <w:r>
        <w:rPr>
          <w:rFonts w:hint="eastAsia"/>
          <w:sz w:val="24"/>
        </w:rPr>
        <w:t>220-GD22D-DJ</w:t>
      </w:r>
      <w:r>
        <w:rPr>
          <w:rFonts w:hint="eastAsia" w:ascii="宋体" w:hAnsi="宋体" w:cs="宋体"/>
          <w:sz w:val="24"/>
        </w:rPr>
        <w:t>塔型预测结果中，工频电场强度最大值为</w:t>
      </w:r>
      <w:r>
        <w:rPr>
          <w:rFonts w:hint="eastAsia"/>
          <w:sz w:val="24"/>
        </w:rPr>
        <w:t>7.608kV/m</w:t>
      </w:r>
      <w:r>
        <w:rPr>
          <w:rFonts w:hint="eastAsia" w:ascii="宋体" w:hAnsi="宋体" w:cs="宋体"/>
          <w:sz w:val="24"/>
        </w:rPr>
        <w:t>（距预测中心</w:t>
      </w:r>
      <w:r>
        <w:rPr>
          <w:rFonts w:hint="eastAsia"/>
          <w:sz w:val="24"/>
        </w:rPr>
        <w:t>-7.3m</w:t>
      </w:r>
      <w:r>
        <w:rPr>
          <w:rFonts w:hint="eastAsia" w:ascii="宋体" w:hAnsi="宋体" w:cs="宋体"/>
          <w:sz w:val="24"/>
        </w:rPr>
        <w:t>）、工频磁感应强度最大值为</w:t>
      </w:r>
      <w:r>
        <w:rPr>
          <w:rFonts w:hint="eastAsia"/>
          <w:sz w:val="24"/>
        </w:rPr>
        <w:t>47.22μT</w:t>
      </w:r>
      <w:r>
        <w:rPr>
          <w:rFonts w:hint="eastAsia" w:ascii="宋体" w:hAnsi="宋体" w:cs="宋体"/>
          <w:sz w:val="24"/>
        </w:rPr>
        <w:t>（距预测中心</w:t>
      </w:r>
      <w:r>
        <w:rPr>
          <w:rFonts w:hint="eastAsia"/>
          <w:sz w:val="24"/>
        </w:rPr>
        <w:t>-5.2m</w:t>
      </w:r>
      <w:r>
        <w:rPr>
          <w:rFonts w:hint="eastAsia" w:ascii="宋体" w:hAnsi="宋体" w:cs="宋体"/>
          <w:sz w:val="24"/>
        </w:rPr>
        <w:t>）。线路运行产生的工频电场强度可满足《电磁环境控制限值》(</w:t>
      </w:r>
      <w:r>
        <w:rPr>
          <w:rFonts w:hint="eastAsia"/>
          <w:sz w:val="24"/>
        </w:rPr>
        <w:t>GB8702-2014</w:t>
      </w:r>
      <w:r>
        <w:rPr>
          <w:rFonts w:hint="eastAsia" w:ascii="宋体" w:hAnsi="宋体" w:cs="宋体"/>
          <w:sz w:val="24"/>
        </w:rPr>
        <w:t>)中规定(架空输电线路线下的耕地、园地、牧草地、畜禽饲养地、养殖水面、道路等场所，其频率</w:t>
      </w:r>
      <w:r>
        <w:rPr>
          <w:rFonts w:hint="eastAsia"/>
          <w:sz w:val="24"/>
        </w:rPr>
        <w:t>50Hz</w:t>
      </w:r>
      <w:r>
        <w:rPr>
          <w:rFonts w:hint="eastAsia" w:ascii="宋体" w:hAnsi="宋体" w:cs="宋体"/>
          <w:sz w:val="24"/>
        </w:rPr>
        <w:t>)的工频电场强度</w:t>
      </w:r>
      <w:r>
        <w:rPr>
          <w:rFonts w:hint="eastAsia"/>
          <w:sz w:val="24"/>
        </w:rPr>
        <w:t>≤10kV/m</w:t>
      </w:r>
      <w:r>
        <w:rPr>
          <w:rFonts w:hint="eastAsia" w:ascii="宋体" w:hAnsi="宋体" w:cs="宋体"/>
          <w:sz w:val="24"/>
        </w:rPr>
        <w:t>的控制限值，可满足工频磁感应强度≤</w:t>
      </w:r>
      <w:r>
        <w:rPr>
          <w:rFonts w:hint="eastAsia"/>
          <w:sz w:val="24"/>
        </w:rPr>
        <w:t>100</w:t>
      </w:r>
      <w:r>
        <w:rPr>
          <w:sz w:val="24"/>
        </w:rPr>
        <w:t>μT</w:t>
      </w:r>
      <w:r>
        <w:rPr>
          <w:rFonts w:hint="eastAsia" w:ascii="宋体" w:hAnsi="宋体" w:cs="宋体"/>
          <w:sz w:val="24"/>
        </w:rPr>
        <w:t>的公众曝露控制限值。</w:t>
      </w:r>
    </w:p>
    <w:p w14:paraId="3E0D7432">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sz w:val="24"/>
        </w:rPr>
        <w:t>2</w:t>
      </w:r>
      <w:r>
        <w:rPr>
          <w:rFonts w:hint="eastAsia" w:ascii="宋体" w:hAnsi="宋体" w:cs="宋体"/>
          <w:sz w:val="24"/>
        </w:rPr>
        <w:t>)线路预测结果分析(同塔双回路)</w:t>
      </w:r>
    </w:p>
    <w:p w14:paraId="26053D7B">
      <w:pPr>
        <w:adjustRightInd w:val="0"/>
        <w:snapToGrid w:val="0"/>
        <w:spacing w:line="360" w:lineRule="auto"/>
        <w:ind w:firstLine="480" w:firstLineChars="200"/>
        <w:rPr>
          <w:rFonts w:ascii="宋体" w:hAnsi="宋体" w:cs="宋体"/>
          <w:sz w:val="24"/>
        </w:rPr>
      </w:pPr>
      <w:r>
        <w:rPr>
          <w:rFonts w:hint="eastAsia" w:ascii="宋体" w:hAnsi="宋体" w:cs="宋体"/>
          <w:sz w:val="24"/>
        </w:rPr>
        <w:t>当线高按</w:t>
      </w:r>
      <w:r>
        <w:rPr>
          <w:rFonts w:hint="eastAsia"/>
          <w:sz w:val="24"/>
        </w:rPr>
        <w:t>6.5m</w:t>
      </w:r>
      <w:r>
        <w:rPr>
          <w:rFonts w:hint="eastAsia" w:ascii="宋体" w:hAnsi="宋体" w:cs="宋体"/>
          <w:sz w:val="24"/>
        </w:rPr>
        <w:t>计，同塔双回线路</w:t>
      </w:r>
      <w:r>
        <w:rPr>
          <w:rFonts w:hint="eastAsia"/>
          <w:sz w:val="24"/>
        </w:rPr>
        <w:t>220-GD22S-DJ</w:t>
      </w:r>
      <w:r>
        <w:rPr>
          <w:rFonts w:hint="eastAsia" w:ascii="宋体" w:hAnsi="宋体" w:cs="宋体"/>
          <w:sz w:val="24"/>
        </w:rPr>
        <w:t>塔型(同相序)预测结果中工频电场强度最大值为</w:t>
      </w:r>
      <w:r>
        <w:rPr>
          <w:rFonts w:hint="eastAsia"/>
          <w:sz w:val="24"/>
        </w:rPr>
        <w:t>7.035kV/m</w:t>
      </w:r>
      <w:r>
        <w:rPr>
          <w:rFonts w:hint="eastAsia" w:ascii="宋体" w:hAnsi="宋体" w:cs="宋体"/>
          <w:sz w:val="24"/>
        </w:rPr>
        <w:t>（距预测中心</w:t>
      </w:r>
      <w:r>
        <w:rPr>
          <w:rFonts w:hint="eastAsia"/>
          <w:sz w:val="24"/>
        </w:rPr>
        <w:t>-6.6m</w:t>
      </w:r>
      <w:r>
        <w:rPr>
          <w:rFonts w:hint="eastAsia" w:ascii="宋体" w:hAnsi="宋体" w:cs="宋体"/>
          <w:sz w:val="24"/>
        </w:rPr>
        <w:t>）、工频磁感应强度最大值为</w:t>
      </w:r>
      <w:r>
        <w:rPr>
          <w:rFonts w:hint="eastAsia"/>
          <w:sz w:val="24"/>
        </w:rPr>
        <w:t>32.37μT</w:t>
      </w:r>
      <w:r>
        <w:rPr>
          <w:rFonts w:hint="eastAsia" w:ascii="宋体" w:hAnsi="宋体" w:cs="宋体"/>
          <w:sz w:val="24"/>
        </w:rPr>
        <w:t>（距预测中心</w:t>
      </w:r>
      <w:r>
        <w:rPr>
          <w:rFonts w:hint="eastAsia"/>
          <w:sz w:val="24"/>
        </w:rPr>
        <w:t>-7.9m</w:t>
      </w:r>
      <w:r>
        <w:rPr>
          <w:rFonts w:hint="eastAsia" w:ascii="宋体" w:hAnsi="宋体" w:cs="宋体"/>
          <w:sz w:val="24"/>
        </w:rPr>
        <w:t>），线路运行产生的工频电场强度可满足《电磁环境控制限值》(</w:t>
      </w:r>
      <w:r>
        <w:rPr>
          <w:rFonts w:hint="eastAsia"/>
          <w:sz w:val="24"/>
        </w:rPr>
        <w:t>GB8702-2014</w:t>
      </w:r>
      <w:r>
        <w:rPr>
          <w:rFonts w:hint="eastAsia" w:ascii="宋体" w:hAnsi="宋体" w:cs="宋体"/>
          <w:sz w:val="24"/>
        </w:rPr>
        <w:t>)中规定(架空输电线路线下的耕地、园地、牧草地、畜禽饲养地、养殖水面、道路等场所，其频率</w:t>
      </w:r>
      <w:r>
        <w:rPr>
          <w:rFonts w:hint="eastAsia"/>
          <w:sz w:val="24"/>
        </w:rPr>
        <w:t>50Hz</w:t>
      </w:r>
      <w:r>
        <w:rPr>
          <w:rFonts w:hint="eastAsia" w:ascii="宋体" w:hAnsi="宋体" w:cs="宋体"/>
          <w:sz w:val="24"/>
        </w:rPr>
        <w:t>)的工频电场强度≤</w:t>
      </w:r>
      <w:r>
        <w:rPr>
          <w:rFonts w:hint="eastAsia"/>
          <w:sz w:val="24"/>
        </w:rPr>
        <w:t>10kV/m</w:t>
      </w:r>
      <w:r>
        <w:rPr>
          <w:rFonts w:hint="eastAsia" w:ascii="宋体" w:hAnsi="宋体" w:cs="宋体"/>
          <w:sz w:val="24"/>
        </w:rPr>
        <w:t>的控制限值，可满足工频磁感应强度≤</w:t>
      </w:r>
      <w:r>
        <w:rPr>
          <w:rFonts w:hint="eastAsia"/>
          <w:sz w:val="24"/>
        </w:rPr>
        <w:t>100</w:t>
      </w:r>
      <w:r>
        <w:rPr>
          <w:sz w:val="24"/>
        </w:rPr>
        <w:t>μT</w:t>
      </w:r>
      <w:r>
        <w:rPr>
          <w:rFonts w:hint="eastAsia" w:ascii="宋体" w:hAnsi="宋体" w:cs="宋体"/>
          <w:sz w:val="24"/>
        </w:rPr>
        <w:t>的公众曝露控制限值。</w:t>
      </w:r>
    </w:p>
    <w:p w14:paraId="1CFC370B">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sz w:val="24"/>
        </w:rPr>
        <w:t>3</w:t>
      </w:r>
      <w:r>
        <w:rPr>
          <w:rFonts w:hint="eastAsia" w:ascii="宋体" w:hAnsi="宋体" w:cs="宋体"/>
          <w:sz w:val="24"/>
        </w:rPr>
        <w:t>)小结</w:t>
      </w:r>
    </w:p>
    <w:p w14:paraId="2DB44C37">
      <w:pPr>
        <w:adjustRightInd w:val="0"/>
        <w:snapToGrid w:val="0"/>
        <w:spacing w:line="360" w:lineRule="auto"/>
        <w:ind w:firstLine="480" w:firstLineChars="200"/>
        <w:rPr>
          <w:rFonts w:ascii="宋体" w:hAnsi="宋体" w:cs="宋体"/>
          <w:sz w:val="24"/>
        </w:rPr>
      </w:pPr>
      <w:r>
        <w:rPr>
          <w:rFonts w:hint="eastAsia" w:ascii="宋体" w:hAnsi="宋体" w:cs="宋体"/>
          <w:sz w:val="24"/>
        </w:rPr>
        <w:t>本工程从工频电场、工频磁场预测结果可以看出，与边导线投影的距离渐远，线路的工频电场强度和工频磁感应强度影响值均随之逐渐降低。</w:t>
      </w:r>
    </w:p>
    <w:p w14:paraId="626F11B7">
      <w:pPr>
        <w:adjustRightInd w:val="0"/>
        <w:snapToGrid w:val="0"/>
        <w:spacing w:line="360" w:lineRule="auto"/>
        <w:ind w:firstLine="480" w:firstLineChars="200"/>
        <w:rPr>
          <w:rFonts w:ascii="宋体" w:hAnsi="宋体" w:cs="宋体"/>
          <w:sz w:val="24"/>
        </w:rPr>
      </w:pPr>
      <w:r>
        <w:rPr>
          <w:rFonts w:hint="eastAsia" w:ascii="宋体" w:hAnsi="宋体" w:cs="宋体"/>
          <w:sz w:val="24"/>
        </w:rPr>
        <w:t>根据现场踏勘，项目区非居民区，线高按非居民区</w:t>
      </w:r>
      <w:r>
        <w:rPr>
          <w:rFonts w:hint="eastAsia"/>
          <w:sz w:val="24"/>
        </w:rPr>
        <w:t>6.5m</w:t>
      </w:r>
      <w:r>
        <w:rPr>
          <w:rFonts w:hint="eastAsia" w:ascii="宋体" w:hAnsi="宋体" w:cs="宋体"/>
          <w:sz w:val="24"/>
        </w:rPr>
        <w:t>设计就能满足《电磁环境控制限值》(</w:t>
      </w:r>
      <w:r>
        <w:rPr>
          <w:rFonts w:hint="eastAsia"/>
          <w:sz w:val="24"/>
        </w:rPr>
        <w:t>GB8702-2014</w:t>
      </w:r>
      <w:r>
        <w:rPr>
          <w:rFonts w:hint="eastAsia" w:ascii="宋体" w:hAnsi="宋体" w:cs="宋体"/>
          <w:sz w:val="24"/>
        </w:rPr>
        <w:t>)中规定(架空输电线路线下的耕地、园地、牧草地、畜禽饲养地、养殖水面、道路等场所，其频率</w:t>
      </w:r>
      <w:r>
        <w:rPr>
          <w:rFonts w:hint="eastAsia"/>
          <w:sz w:val="24"/>
        </w:rPr>
        <w:t>50Hz</w:t>
      </w:r>
      <w:r>
        <w:rPr>
          <w:rFonts w:hint="eastAsia" w:ascii="宋体" w:hAnsi="宋体" w:cs="宋体"/>
          <w:sz w:val="24"/>
        </w:rPr>
        <w:t>)的工频电场强度≤</w:t>
      </w:r>
      <w:r>
        <w:rPr>
          <w:rFonts w:hint="eastAsia"/>
          <w:sz w:val="24"/>
        </w:rPr>
        <w:t>10kV/m</w:t>
      </w:r>
      <w:r>
        <w:rPr>
          <w:rFonts w:hint="eastAsia" w:ascii="宋体" w:hAnsi="宋体" w:cs="宋体"/>
          <w:sz w:val="24"/>
        </w:rPr>
        <w:t>的控制限值，工频磁感应强度≤</w:t>
      </w:r>
      <w:r>
        <w:rPr>
          <w:rFonts w:hint="eastAsia"/>
          <w:sz w:val="24"/>
        </w:rPr>
        <w:t>100</w:t>
      </w:r>
      <w:r>
        <w:rPr>
          <w:sz w:val="24"/>
        </w:rPr>
        <w:t>μT</w:t>
      </w:r>
      <w:r>
        <w:rPr>
          <w:rFonts w:hint="eastAsia" w:ascii="宋体" w:hAnsi="宋体" w:cs="宋体"/>
          <w:sz w:val="24"/>
        </w:rPr>
        <w:t>的公众曝露控制限值。</w:t>
      </w:r>
    </w:p>
    <w:p w14:paraId="4EC6ACE5">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ascii="宋体" w:hAnsi="宋体" w:eastAsia="宋体"/>
          <w:color w:val="auto"/>
          <w:sz w:val="24"/>
          <w:szCs w:val="24"/>
        </w:rPr>
      </w:pPr>
      <w:r>
        <w:rPr>
          <w:rFonts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电磁环境保护措施</w:t>
      </w:r>
    </w:p>
    <w:p w14:paraId="5EAD11E8">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sz w:val="24"/>
        </w:rPr>
        <w:t>1</w:t>
      </w:r>
      <w:r>
        <w:rPr>
          <w:rFonts w:hint="eastAsia" w:ascii="宋体" w:hAnsi="宋体" w:cs="宋体"/>
          <w:sz w:val="24"/>
        </w:rPr>
        <w:t>）升压站内首先选择低噪声的设备，在总平面布置上，按功能分区布置。</w:t>
      </w:r>
    </w:p>
    <w:p w14:paraId="47B6A43A">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sz w:val="24"/>
        </w:rPr>
        <w:t>2</w:t>
      </w:r>
      <w:r>
        <w:rPr>
          <w:rFonts w:hint="eastAsia" w:ascii="宋体" w:hAnsi="宋体" w:cs="宋体"/>
          <w:sz w:val="24"/>
        </w:rPr>
        <w:t>）对员工进行电磁辐射基础知识培训，在巡检带电维修过程中，尽可能减少暴露在电磁场中的时间。</w:t>
      </w:r>
    </w:p>
    <w:p w14:paraId="1515A870">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sz w:val="24"/>
        </w:rPr>
        <w:t>3</w:t>
      </w:r>
      <w:r>
        <w:rPr>
          <w:rFonts w:hint="eastAsia" w:ascii="宋体" w:hAnsi="宋体" w:cs="宋体"/>
          <w:sz w:val="24"/>
        </w:rPr>
        <w:t>）加强架空线路巡检工作，确保线路的安全运行。</w:t>
      </w:r>
    </w:p>
    <w:p w14:paraId="748AFA0D">
      <w:pPr>
        <w:adjustRightInd w:val="0"/>
        <w:snapToGrid w:val="0"/>
        <w:spacing w:line="360" w:lineRule="auto"/>
        <w:ind w:firstLine="480" w:firstLineChars="200"/>
        <w:rPr>
          <w:rFonts w:ascii="宋体" w:hAnsi="宋体" w:cs="宋体"/>
          <w:sz w:val="24"/>
        </w:rPr>
      </w:pPr>
      <w:r>
        <w:rPr>
          <w:rFonts w:hint="eastAsia" w:ascii="宋体" w:hAnsi="宋体" w:cs="宋体"/>
          <w:sz w:val="24"/>
        </w:rPr>
        <w:t>（4）制定安全操作规程，加强职工安全教育，加强电磁水平监测。</w:t>
      </w:r>
    </w:p>
    <w:p w14:paraId="378FFBF1">
      <w:pPr>
        <w:adjustRightInd w:val="0"/>
        <w:snapToGrid w:val="0"/>
        <w:spacing w:line="360" w:lineRule="auto"/>
        <w:ind w:firstLine="480" w:firstLineChars="200"/>
        <w:rPr>
          <w:rFonts w:hAnsi="宋体"/>
          <w:color w:val="00B050"/>
        </w:rPr>
      </w:pPr>
      <w:r>
        <w:rPr>
          <w:rFonts w:hint="eastAsia" w:ascii="宋体" w:hAnsi="宋体" w:cs="宋体"/>
          <w:sz w:val="24"/>
        </w:rPr>
        <w:t>（</w:t>
      </w:r>
      <w:r>
        <w:rPr>
          <w:rFonts w:hint="eastAsia"/>
          <w:sz w:val="24"/>
        </w:rPr>
        <w:t>5</w:t>
      </w:r>
      <w:r>
        <w:rPr>
          <w:rFonts w:hint="eastAsia" w:ascii="宋体" w:hAnsi="宋体" w:cs="宋体"/>
          <w:sz w:val="24"/>
        </w:rPr>
        <w:t>）设立警示标志，禁止无关人员进入升压站或靠近带电架构。</w:t>
      </w:r>
    </w:p>
    <w:p w14:paraId="0FB986C1">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textAlignment w:val="auto"/>
        <w:rPr>
          <w:rFonts w:ascii="宋体" w:hAnsi="宋体" w:eastAsia="宋体"/>
          <w:color w:val="auto"/>
          <w:sz w:val="24"/>
          <w:szCs w:val="24"/>
        </w:rPr>
      </w:pPr>
      <w:r>
        <w:rPr>
          <w:rFonts w:eastAsia="宋体"/>
          <w:color w:val="auto"/>
          <w:sz w:val="24"/>
          <w:szCs w:val="24"/>
        </w:rPr>
        <w:t>5</w:t>
      </w:r>
      <w:r>
        <w:rPr>
          <w:rFonts w:hint="eastAsia" w:ascii="宋体" w:hAnsi="宋体" w:eastAsia="宋体"/>
          <w:color w:val="auto"/>
          <w:sz w:val="24"/>
          <w:szCs w:val="24"/>
        </w:rPr>
        <w:t>、</w:t>
      </w:r>
      <w:r>
        <w:rPr>
          <w:rFonts w:ascii="宋体" w:hAnsi="宋体" w:eastAsia="宋体"/>
          <w:color w:val="auto"/>
          <w:sz w:val="24"/>
          <w:szCs w:val="24"/>
        </w:rPr>
        <w:t>电磁环境影响评价结论</w:t>
      </w:r>
    </w:p>
    <w:p w14:paraId="207B4ADA">
      <w:pPr>
        <w:adjustRightInd w:val="0"/>
        <w:snapToGrid w:val="0"/>
        <w:spacing w:line="360" w:lineRule="auto"/>
        <w:ind w:firstLine="480" w:firstLineChars="200"/>
        <w:rPr>
          <w:rFonts w:ascii="宋体" w:hAnsi="宋体" w:cs="宋体"/>
          <w:sz w:val="24"/>
        </w:rPr>
      </w:pPr>
      <w:r>
        <w:rPr>
          <w:rFonts w:hint="eastAsia" w:ascii="宋体" w:hAnsi="宋体" w:cs="宋体"/>
          <w:sz w:val="24"/>
        </w:rPr>
        <w:t>根据类比监测方式预测结果进行分析，本项目升压站建成投运后，对升压站周围的环境产生的影响在可以接受的范围，升压站电磁环境影响能满足《电磁环境控制限值》（</w:t>
      </w:r>
      <w:r>
        <w:rPr>
          <w:rFonts w:hint="eastAsia"/>
          <w:sz w:val="24"/>
        </w:rPr>
        <w:t>GB8702-2014</w:t>
      </w:r>
      <w:r>
        <w:rPr>
          <w:rFonts w:hint="eastAsia" w:ascii="宋体" w:hAnsi="宋体" w:cs="宋体"/>
          <w:sz w:val="24"/>
        </w:rPr>
        <w:t>）中频率为</w:t>
      </w:r>
      <w:r>
        <w:rPr>
          <w:rFonts w:hint="eastAsia"/>
          <w:sz w:val="24"/>
        </w:rPr>
        <w:t>50Hz</w:t>
      </w:r>
      <w:r>
        <w:rPr>
          <w:rFonts w:hint="eastAsia" w:ascii="宋体" w:hAnsi="宋体" w:cs="宋体"/>
          <w:sz w:val="24"/>
        </w:rPr>
        <w:t>时的电场强度≤</w:t>
      </w:r>
      <w:r>
        <w:rPr>
          <w:rFonts w:hint="eastAsia"/>
          <w:sz w:val="24"/>
        </w:rPr>
        <w:t>4000V/m</w:t>
      </w:r>
      <w:r>
        <w:rPr>
          <w:rFonts w:hint="eastAsia" w:ascii="宋体" w:hAnsi="宋体" w:cs="宋体"/>
          <w:sz w:val="24"/>
        </w:rPr>
        <w:t>、工频磁感应强度≤</w:t>
      </w:r>
      <w:r>
        <w:rPr>
          <w:rFonts w:hint="eastAsia"/>
          <w:sz w:val="24"/>
        </w:rPr>
        <w:t>100</w:t>
      </w:r>
      <w:r>
        <w:rPr>
          <w:sz w:val="24"/>
        </w:rPr>
        <w:t>μT</w:t>
      </w:r>
      <w:r>
        <w:rPr>
          <w:rFonts w:hint="eastAsia" w:ascii="宋体" w:hAnsi="宋体" w:cs="宋体"/>
          <w:sz w:val="24"/>
        </w:rPr>
        <w:t>的限值要求。</w:t>
      </w:r>
    </w:p>
    <w:p w14:paraId="31633FA9">
      <w:p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sz w:val="24"/>
        </w:rPr>
        <w:t>架空线路段线高按</w:t>
      </w:r>
      <w:r>
        <w:rPr>
          <w:rFonts w:hint="eastAsia"/>
          <w:sz w:val="24"/>
        </w:rPr>
        <w:t>6.5m</w:t>
      </w:r>
      <w:r>
        <w:rPr>
          <w:rFonts w:hint="eastAsia" w:ascii="宋体" w:hAnsi="宋体" w:cs="宋体"/>
          <w:sz w:val="24"/>
        </w:rPr>
        <w:t>设计就能满足《电磁环境控制限值》(</w:t>
      </w:r>
      <w:r>
        <w:rPr>
          <w:rFonts w:hint="eastAsia"/>
          <w:sz w:val="24"/>
        </w:rPr>
        <w:t>GB8702-2014</w:t>
      </w:r>
      <w:r>
        <w:rPr>
          <w:rFonts w:hint="eastAsia" w:ascii="宋体" w:hAnsi="宋体" w:cs="宋体"/>
          <w:sz w:val="24"/>
        </w:rPr>
        <w:t>)中规定(架空输电线路线下的耕地、园地、牧草地、畜禽饲养地、养殖水面、道路等场所，其频率</w:t>
      </w:r>
      <w:r>
        <w:rPr>
          <w:rFonts w:hint="eastAsia"/>
          <w:sz w:val="24"/>
        </w:rPr>
        <w:t>50Hz</w:t>
      </w:r>
      <w:r>
        <w:rPr>
          <w:rFonts w:hint="eastAsia" w:ascii="宋体" w:hAnsi="宋体" w:cs="宋体"/>
          <w:sz w:val="24"/>
        </w:rPr>
        <w:t>)的工频电场强度≤</w:t>
      </w:r>
      <w:r>
        <w:rPr>
          <w:rFonts w:hint="eastAsia"/>
          <w:sz w:val="24"/>
        </w:rPr>
        <w:t>10kV/m</w:t>
      </w:r>
      <w:r>
        <w:rPr>
          <w:rFonts w:hint="eastAsia" w:ascii="宋体" w:hAnsi="宋体" w:cs="宋体"/>
          <w:sz w:val="24"/>
        </w:rPr>
        <w:t>的控制限值，工频磁感应强度</w:t>
      </w:r>
      <w:r>
        <w:rPr>
          <w:rFonts w:hint="eastAsia" w:ascii="宋体" w:hAnsi="宋体" w:cs="宋体"/>
          <w:color w:val="000000" w:themeColor="text1"/>
          <w:sz w:val="24"/>
        </w:rPr>
        <w:t>≤</w:t>
      </w:r>
      <w:r>
        <w:rPr>
          <w:color w:val="000000" w:themeColor="text1"/>
          <w:sz w:val="24"/>
        </w:rPr>
        <w:t>100μT</w:t>
      </w:r>
      <w:r>
        <w:rPr>
          <w:rFonts w:hint="eastAsia" w:ascii="宋体" w:hAnsi="宋体" w:cs="宋体"/>
          <w:color w:val="000000" w:themeColor="text1"/>
          <w:sz w:val="24"/>
        </w:rPr>
        <w:t>的公众曝露控制限值。</w:t>
      </w:r>
    </w:p>
    <w:p w14:paraId="24B93F7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Times New Roman"/>
          <w:color w:val="000000" w:themeColor="text1"/>
          <w:kern w:val="2"/>
          <w:sz w:val="24"/>
          <w:szCs w:val="24"/>
          <w:lang w:val="en-US" w:eastAsia="zh-CN" w:bidi="ar"/>
        </w:rPr>
      </w:pPr>
      <w:r>
        <w:rPr>
          <w:rFonts w:hint="eastAsia" w:ascii="宋体" w:hAnsi="宋体" w:cs="宋体"/>
          <w:color w:val="000000" w:themeColor="text1"/>
          <w:sz w:val="24"/>
          <w:lang w:eastAsia="zh-CN"/>
        </w:rPr>
        <w:t>库米什变电站现状</w:t>
      </w:r>
      <w:r>
        <w:rPr>
          <w:rFonts w:hint="eastAsia" w:ascii="宋体" w:hAnsi="宋体" w:eastAsia="宋体" w:cs="Times New Roman"/>
          <w:color w:val="000000" w:themeColor="text1"/>
          <w:kern w:val="2"/>
          <w:sz w:val="24"/>
          <w:szCs w:val="24"/>
          <w:lang w:val="en-US" w:eastAsia="zh-CN" w:bidi="ar"/>
        </w:rPr>
        <w:t>满足《电磁环境控制限值》（</w:t>
      </w:r>
      <w:r>
        <w:rPr>
          <w:rFonts w:hint="default" w:ascii="Times New Roman" w:hAnsi="Times New Roman" w:eastAsia="宋体" w:cs="Times New Roman"/>
          <w:color w:val="000000" w:themeColor="text1"/>
          <w:kern w:val="2"/>
          <w:sz w:val="24"/>
          <w:szCs w:val="24"/>
          <w:lang w:val="en-US" w:eastAsia="zh-CN" w:bidi="ar"/>
        </w:rPr>
        <w:t>GB8702-2014</w:t>
      </w:r>
      <w:r>
        <w:rPr>
          <w:rFonts w:hint="eastAsia" w:ascii="宋体" w:hAnsi="宋体" w:eastAsia="宋体" w:cs="Times New Roman"/>
          <w:color w:val="000000" w:themeColor="text1"/>
          <w:kern w:val="2"/>
          <w:sz w:val="24"/>
          <w:szCs w:val="24"/>
          <w:lang w:val="en-US" w:eastAsia="zh-CN" w:bidi="ar"/>
        </w:rPr>
        <w:t>）中的（电场强度≤</w:t>
      </w:r>
      <w:r>
        <w:rPr>
          <w:rFonts w:hint="default" w:ascii="Times New Roman" w:hAnsi="Times New Roman" w:eastAsia="宋体" w:cs="Times New Roman"/>
          <w:color w:val="000000" w:themeColor="text1"/>
          <w:kern w:val="2"/>
          <w:sz w:val="24"/>
          <w:szCs w:val="24"/>
          <w:lang w:val="en-US" w:eastAsia="zh-CN" w:bidi="ar"/>
        </w:rPr>
        <w:t>4000V/m</w:t>
      </w:r>
      <w:r>
        <w:rPr>
          <w:rFonts w:hint="eastAsia" w:ascii="宋体" w:hAnsi="宋体" w:eastAsia="宋体" w:cs="Times New Roman"/>
          <w:color w:val="000000" w:themeColor="text1"/>
          <w:kern w:val="2"/>
          <w:sz w:val="24"/>
          <w:szCs w:val="24"/>
          <w:lang w:val="en-US" w:eastAsia="zh-CN" w:bidi="ar"/>
        </w:rPr>
        <w:t>；磁感应强度≤</w:t>
      </w:r>
      <w:r>
        <w:rPr>
          <w:rFonts w:hint="default" w:ascii="Times New Roman" w:hAnsi="Times New Roman" w:eastAsia="宋体" w:cs="Times New Roman"/>
          <w:color w:val="000000" w:themeColor="text1"/>
          <w:kern w:val="2"/>
          <w:sz w:val="24"/>
          <w:szCs w:val="24"/>
          <w:lang w:val="en-US" w:eastAsia="zh-CN" w:bidi="ar"/>
        </w:rPr>
        <w:t>100</w:t>
      </w:r>
      <w:r>
        <w:rPr>
          <w:rFonts w:hint="eastAsia" w:ascii="宋体" w:hAnsi="宋体" w:eastAsia="宋体" w:cs="Times New Roman"/>
          <w:color w:val="000000" w:themeColor="text1"/>
          <w:kern w:val="2"/>
          <w:sz w:val="24"/>
          <w:szCs w:val="24"/>
          <w:lang w:val="en-US" w:eastAsia="zh-CN" w:bidi="ar"/>
        </w:rPr>
        <w:t>μ</w:t>
      </w:r>
      <w:r>
        <w:rPr>
          <w:rFonts w:hint="default" w:ascii="Times New Roman" w:hAnsi="Times New Roman" w:eastAsia="宋体" w:cs="Times New Roman"/>
          <w:color w:val="000000" w:themeColor="text1"/>
          <w:kern w:val="2"/>
          <w:sz w:val="24"/>
          <w:szCs w:val="24"/>
          <w:lang w:val="en-US" w:eastAsia="zh-CN" w:bidi="ar"/>
        </w:rPr>
        <w:t>T</w:t>
      </w:r>
      <w:r>
        <w:rPr>
          <w:rFonts w:hint="eastAsia" w:ascii="宋体" w:hAnsi="宋体" w:eastAsia="宋体" w:cs="Times New Roman"/>
          <w:color w:val="000000" w:themeColor="text1"/>
          <w:kern w:val="2"/>
          <w:sz w:val="24"/>
          <w:szCs w:val="24"/>
          <w:lang w:val="en-US" w:eastAsia="zh-CN" w:bidi="ar"/>
        </w:rPr>
        <w:t>）公众曝露控制限值</w:t>
      </w:r>
      <w:r>
        <w:rPr>
          <w:rFonts w:hint="eastAsia" w:ascii="宋体" w:hAnsi="宋体" w:cs="Times New Roman"/>
          <w:color w:val="000000" w:themeColor="text1"/>
          <w:kern w:val="2"/>
          <w:sz w:val="24"/>
          <w:szCs w:val="24"/>
          <w:lang w:val="en-US" w:eastAsia="zh-CN" w:bidi="ar"/>
        </w:rPr>
        <w:t>，本次仅扩建</w:t>
      </w:r>
      <w:r>
        <w:rPr>
          <w:rFonts w:hint="default" w:ascii="Times New Roman" w:hAnsi="Times New Roman" w:cs="Times New Roman"/>
          <w:color w:val="000000" w:themeColor="text1"/>
          <w:kern w:val="2"/>
          <w:sz w:val="24"/>
          <w:szCs w:val="24"/>
          <w:lang w:val="en-US" w:eastAsia="zh-CN" w:bidi="ar"/>
        </w:rPr>
        <w:t>1</w:t>
      </w:r>
      <w:r>
        <w:rPr>
          <w:rFonts w:hint="eastAsia" w:ascii="宋体" w:hAnsi="宋体" w:cs="Times New Roman"/>
          <w:color w:val="000000" w:themeColor="text1"/>
          <w:kern w:val="2"/>
          <w:sz w:val="24"/>
          <w:szCs w:val="24"/>
          <w:lang w:val="en-US" w:eastAsia="zh-CN" w:bidi="ar"/>
        </w:rPr>
        <w:t>回</w:t>
      </w:r>
      <w:r>
        <w:rPr>
          <w:rFonts w:hint="eastAsia" w:ascii="Times New Roman" w:hAnsi="Times New Roman" w:cs="Times New Roman"/>
          <w:color w:val="000000" w:themeColor="text1"/>
          <w:kern w:val="2"/>
          <w:sz w:val="24"/>
          <w:szCs w:val="24"/>
          <w:lang w:val="en-US" w:eastAsia="zh-CN" w:bidi="ar"/>
        </w:rPr>
        <w:t>220kV</w:t>
      </w:r>
      <w:r>
        <w:rPr>
          <w:rFonts w:hint="eastAsia" w:ascii="宋体" w:hAnsi="宋体" w:cs="Times New Roman"/>
          <w:color w:val="000000" w:themeColor="text1"/>
          <w:kern w:val="2"/>
          <w:sz w:val="24"/>
          <w:szCs w:val="24"/>
          <w:lang w:val="en-US" w:eastAsia="zh-CN" w:bidi="ar"/>
        </w:rPr>
        <w:t>出线间隔，对库米什变电站基本无影响。</w:t>
      </w:r>
      <w:bookmarkEnd w:id="12"/>
      <w:bookmarkEnd w:id="13"/>
      <w:bookmarkEnd w:id="14"/>
      <w:bookmarkEnd w:id="15"/>
      <w:bookmarkEnd w:id="16"/>
      <w:bookmarkEnd w:id="17"/>
      <w:bookmarkEnd w:id="18"/>
    </w:p>
    <w:p w14:paraId="3D02E42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000000" w:themeColor="text1"/>
        </w:rPr>
      </w:pPr>
      <w:r>
        <w:rPr>
          <w:rFonts w:hint="eastAsia" w:ascii="Times New Roman" w:hAnsi="Times New Roman" w:eastAsia="宋体" w:cs="宋体"/>
          <w:color w:val="000000" w:themeColor="text1"/>
          <w:kern w:val="0"/>
          <w:sz w:val="24"/>
          <w:szCs w:val="24"/>
          <w:lang w:val="en-US" w:eastAsia="zh-CN" w:bidi="ar"/>
        </w:rPr>
        <w:t>综上所述，本项目建成运行后产生的工频电场、工频磁场能满足《电磁环境控制限值》（</w:t>
      </w:r>
      <w:r>
        <w:rPr>
          <w:rFonts w:hint="default" w:ascii="Times New Roman" w:hAnsi="Times New Roman" w:eastAsia="宋体" w:cs="Times New Roman"/>
          <w:color w:val="000000" w:themeColor="text1"/>
          <w:kern w:val="0"/>
          <w:sz w:val="24"/>
          <w:szCs w:val="24"/>
          <w:lang w:val="en-US" w:eastAsia="zh-CN" w:bidi="ar"/>
        </w:rPr>
        <w:t>GB8702-2014</w:t>
      </w:r>
      <w:r>
        <w:rPr>
          <w:rFonts w:hint="eastAsia" w:ascii="Times New Roman" w:hAnsi="Times New Roman" w:eastAsia="宋体" w:cs="宋体"/>
          <w:color w:val="000000" w:themeColor="text1"/>
          <w:kern w:val="0"/>
          <w:sz w:val="24"/>
          <w:szCs w:val="24"/>
          <w:lang w:val="en-US" w:eastAsia="zh-CN" w:bidi="ar"/>
        </w:rPr>
        <w:t>）标准要求限值，项目对周边的电磁环境影响较小。</w:t>
      </w:r>
    </w:p>
    <w:p w14:paraId="0CF5537A">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rPr>
      </w:pPr>
    </w:p>
    <w:sectPr>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ebdings"/>
    <w:panose1 w:val="00000000000000000000"/>
    <w:charset w:val="02"/>
    <w:family w:val="roman"/>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A4BD">
    <w:pPr>
      <w:spacing w:line="167" w:lineRule="auto"/>
      <w:ind w:left="3894"/>
      <w:rPr>
        <w:rFonts w:ascii="宋体" w:hAnsi="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7D541">
    <w:pPr>
      <w:spacing w:line="167" w:lineRule="auto"/>
      <w:ind w:left="3894"/>
      <w:rPr>
        <w:rFonts w:ascii="宋体" w:hAnsi="宋体" w:cs="宋体"/>
        <w:sz w:val="28"/>
        <w:szCs w:val="28"/>
      </w:rPr>
    </w:pPr>
    <w:r>
      <w:rPr>
        <w:sz w:val="28"/>
      </w:rP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3C0BFD04">
                <w:pPr>
                  <w:pStyle w:val="13"/>
                </w:pPr>
                <w:r>
                  <w:fldChar w:fldCharType="begin"/>
                </w:r>
                <w:r>
                  <w:instrText xml:space="preserve"> PAGE  \* MERGEFORMAT </w:instrText>
                </w:r>
                <w:r>
                  <w:fldChar w:fldCharType="separate"/>
                </w:r>
                <w:r>
                  <w:t>11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64DF">
    <w:pPr>
      <w:pStyle w:val="13"/>
      <w:jc w:val="center"/>
    </w:pPr>
    <w: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14:paraId="0036880E">
                <w:pPr>
                  <w:pStyle w:val="13"/>
                  <w:jc w:val="center"/>
                </w:pPr>
                <w:r>
                  <w:fldChar w:fldCharType="begin"/>
                </w:r>
                <w:r>
                  <w:instrText xml:space="preserve"> PAGE   \* MERGEFORMAT </w:instrText>
                </w:r>
                <w:r>
                  <w:fldChar w:fldCharType="separate"/>
                </w:r>
                <w:r>
                  <w:rPr>
                    <w:lang w:val="zh-CN"/>
                  </w:rPr>
                  <w:t>18</w:t>
                </w:r>
                <w:r>
                  <w:rPr>
                    <w:lang w:val="zh-CN"/>
                  </w:rPr>
                  <w:fldChar w:fldCharType="end"/>
                </w:r>
              </w:p>
            </w:txbxContent>
          </v:textbox>
        </v:shape>
      </w:pict>
    </w:r>
  </w:p>
  <w:p w14:paraId="651EEBF9">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0CAE0">
    <w:pPr>
      <w:pStyle w:val="13"/>
      <w:jc w:val="center"/>
    </w:pPr>
  </w:p>
  <w:p w14:paraId="718FBCCE">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202F">
    <w:pPr>
      <w:pStyle w:val="13"/>
      <w:jc w:val="center"/>
    </w:pPr>
  </w:p>
  <w:p w14:paraId="7FE09DCB">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00E4F">
    <w:pPr>
      <w:pStyle w:val="13"/>
      <w:jc w:val="center"/>
    </w:pPr>
    <w:r>
      <w:pict>
        <v:shape id="_x0000_s3073" o:spid="_x0000_s3073"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path/>
          <v:fill on="f" focussize="0,0"/>
          <v:stroke on="f" weight="0.5pt" joinstyle="miter"/>
          <v:imagedata o:title=""/>
          <o:lock v:ext="edit"/>
          <v:textbox inset="0mm,0mm,0mm,0mm" style="mso-fit-shape-to-text:t;">
            <w:txbxContent>
              <w:p w14:paraId="11094B2D">
                <w:pPr>
                  <w:pStyle w:val="13"/>
                  <w:jc w:val="center"/>
                </w:pPr>
                <w:r>
                  <w:fldChar w:fldCharType="begin"/>
                </w:r>
                <w:r>
                  <w:instrText xml:space="preserve"> PAGE   \* MERGEFORMAT </w:instrText>
                </w:r>
                <w:r>
                  <w:fldChar w:fldCharType="separate"/>
                </w:r>
                <w:r>
                  <w:rPr>
                    <w:lang w:val="zh-CN"/>
                  </w:rPr>
                  <w:t>22</w:t>
                </w:r>
                <w:r>
                  <w:rPr>
                    <w:lang w:val="zh-CN"/>
                  </w:rPr>
                  <w:fldChar w:fldCharType="end"/>
                </w:r>
              </w:p>
            </w:txbxContent>
          </v:textbox>
        </v:shape>
      </w:pict>
    </w:r>
  </w:p>
  <w:p w14:paraId="2851D025">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DCE85"/>
    <w:multiLevelType w:val="singleLevel"/>
    <w:tmpl w:val="917DCE85"/>
    <w:lvl w:ilvl="0" w:tentative="0">
      <w:start w:val="1"/>
      <w:numFmt w:val="decimal"/>
      <w:suff w:val="nothing"/>
      <w:lvlText w:val="（%1）"/>
      <w:lvlJc w:val="left"/>
    </w:lvl>
  </w:abstractNum>
  <w:abstractNum w:abstractNumId="1">
    <w:nsid w:val="AFEB9121"/>
    <w:multiLevelType w:val="singleLevel"/>
    <w:tmpl w:val="AFEB9121"/>
    <w:lvl w:ilvl="0" w:tentative="0">
      <w:start w:val="1"/>
      <w:numFmt w:val="chineseCounting"/>
      <w:suff w:val="nothing"/>
      <w:lvlText w:val="（%1）"/>
      <w:lvlJc w:val="left"/>
      <w:rPr>
        <w:rFonts w:hint="eastAsia"/>
      </w:rPr>
    </w:lvl>
  </w:abstractNum>
  <w:abstractNum w:abstractNumId="2">
    <w:nsid w:val="C5B8E72A"/>
    <w:multiLevelType w:val="singleLevel"/>
    <w:tmpl w:val="C5B8E72A"/>
    <w:lvl w:ilvl="0" w:tentative="0">
      <w:start w:val="1"/>
      <w:numFmt w:val="decimal"/>
      <w:suff w:val="nothing"/>
      <w:lvlText w:val="（%1）"/>
      <w:lvlJc w:val="left"/>
    </w:lvl>
  </w:abstractNum>
  <w:abstractNum w:abstractNumId="3">
    <w:nsid w:val="D3E8E033"/>
    <w:multiLevelType w:val="singleLevel"/>
    <w:tmpl w:val="D3E8E033"/>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4">
    <w:nsid w:val="D43ECF78"/>
    <w:multiLevelType w:val="singleLevel"/>
    <w:tmpl w:val="D43ECF78"/>
    <w:lvl w:ilvl="0" w:tentative="0">
      <w:start w:val="1"/>
      <w:numFmt w:val="decimal"/>
      <w:suff w:val="nothing"/>
      <w:lvlText w:val="（%1）"/>
      <w:lvlJc w:val="left"/>
    </w:lvl>
  </w:abstractNum>
  <w:abstractNum w:abstractNumId="5">
    <w:nsid w:val="E3B0BDA3"/>
    <w:multiLevelType w:val="singleLevel"/>
    <w:tmpl w:val="E3B0BDA3"/>
    <w:lvl w:ilvl="0" w:tentative="0">
      <w:start w:val="3"/>
      <w:numFmt w:val="chineseCounting"/>
      <w:suff w:val="nothing"/>
      <w:lvlText w:val="%1、"/>
      <w:lvlJc w:val="left"/>
      <w:rPr>
        <w:rFonts w:hint="eastAsia"/>
      </w:rPr>
    </w:lvl>
  </w:abstractNum>
  <w:abstractNum w:abstractNumId="6">
    <w:nsid w:val="1A3F085A"/>
    <w:multiLevelType w:val="singleLevel"/>
    <w:tmpl w:val="1A3F085A"/>
    <w:lvl w:ilvl="0" w:tentative="0">
      <w:start w:val="1"/>
      <w:numFmt w:val="decimal"/>
      <w:suff w:val="nothing"/>
      <w:lvlText w:val="（%1）"/>
      <w:lvlJc w:val="left"/>
    </w:lvl>
  </w:abstractNum>
  <w:abstractNum w:abstractNumId="7">
    <w:nsid w:val="35C27FE2"/>
    <w:multiLevelType w:val="singleLevel"/>
    <w:tmpl w:val="35C27FE2"/>
    <w:lvl w:ilvl="0" w:tentative="0">
      <w:start w:val="1"/>
      <w:numFmt w:val="decimal"/>
      <w:pStyle w:val="11"/>
      <w:lvlText w:val="%1."/>
      <w:lvlJc w:val="left"/>
      <w:pPr>
        <w:tabs>
          <w:tab w:val="left" w:pos="2040"/>
        </w:tabs>
        <w:ind w:left="2040" w:hanging="360"/>
      </w:pPr>
    </w:lvl>
  </w:abstractNum>
  <w:abstractNum w:abstractNumId="8">
    <w:nsid w:val="3916D326"/>
    <w:multiLevelType w:val="singleLevel"/>
    <w:tmpl w:val="3916D326"/>
    <w:lvl w:ilvl="0" w:tentative="0">
      <w:start w:val="3"/>
      <w:numFmt w:val="decimal"/>
      <w:suff w:val="nothing"/>
      <w:lvlText w:val="%1、"/>
      <w:lvlJc w:val="left"/>
    </w:lvl>
  </w:abstractNum>
  <w:abstractNum w:abstractNumId="9">
    <w:nsid w:val="764765B4"/>
    <w:multiLevelType w:val="multilevel"/>
    <w:tmpl w:val="764765B4"/>
    <w:lvl w:ilvl="0" w:tentative="0">
      <w:start w:val="1"/>
      <w:numFmt w:val="decimal"/>
      <w:lvlText w:val="%1."/>
      <w:lvlJc w:val="left"/>
      <w:pPr>
        <w:tabs>
          <w:tab w:val="left" w:pos="360"/>
        </w:tabs>
        <w:ind w:left="0" w:firstLine="0"/>
      </w:pPr>
      <w:rPr>
        <w:rFonts w:hint="default" w:ascii="Times New Roman" w:hAnsi="Times New Roman" w:eastAsia="黑体" w:cs="Times New Roman"/>
        <w:b w:val="0"/>
        <w:i w:val="0"/>
        <w:sz w:val="28"/>
        <w:szCs w:val="28"/>
      </w:rPr>
    </w:lvl>
    <w:lvl w:ilvl="1" w:tentative="0">
      <w:start w:val="1"/>
      <w:numFmt w:val="decimal"/>
      <w:lvlText w:val="%1.%2"/>
      <w:lvlJc w:val="left"/>
      <w:pPr>
        <w:tabs>
          <w:tab w:val="left" w:pos="720"/>
        </w:tabs>
        <w:ind w:left="0" w:firstLine="0"/>
      </w:pPr>
      <w:rPr>
        <w:rFonts w:hint="eastAsia" w:ascii="宋体" w:eastAsia="宋体"/>
        <w:b w:val="0"/>
        <w:i w:val="0"/>
        <w:kern w:val="16"/>
        <w:sz w:val="28"/>
      </w:rPr>
    </w:lvl>
    <w:lvl w:ilvl="2" w:tentative="0">
      <w:start w:val="1"/>
      <w:numFmt w:val="decimal"/>
      <w:pStyle w:val="4"/>
      <w:lvlText w:val="%1.%2.%3"/>
      <w:lvlJc w:val="left"/>
      <w:pPr>
        <w:tabs>
          <w:tab w:val="left" w:pos="720"/>
        </w:tabs>
        <w:ind w:left="0" w:firstLine="0"/>
      </w:pPr>
      <w:rPr>
        <w:rFonts w:hint="eastAsia" w:ascii="宋体" w:eastAsia="宋体"/>
        <w:b w:val="0"/>
        <w:i w:val="0"/>
        <w:sz w:val="28"/>
      </w:rPr>
    </w:lvl>
    <w:lvl w:ilvl="3" w:tentative="0">
      <w:start w:val="1"/>
      <w:numFmt w:val="decimal"/>
      <w:lvlText w:val="%1.%2.%3.%4"/>
      <w:lvlJc w:val="left"/>
      <w:pPr>
        <w:tabs>
          <w:tab w:val="left" w:pos="1080"/>
        </w:tabs>
        <w:ind w:left="0" w:firstLine="0"/>
      </w:pPr>
      <w:rPr>
        <w:rFonts w:hint="eastAsia"/>
      </w:rPr>
    </w:lvl>
    <w:lvl w:ilvl="4" w:tentative="0">
      <w:start w:val="1"/>
      <w:numFmt w:val="decimal"/>
      <w:lvlText w:val="(%5) "/>
      <w:lvlJc w:val="left"/>
      <w:pPr>
        <w:tabs>
          <w:tab w:val="left" w:pos="567"/>
        </w:tabs>
        <w:ind w:left="567" w:hanging="567"/>
      </w:pPr>
      <w:rPr>
        <w:rFonts w:hint="eastAsia" w:ascii="宋体" w:eastAsia="宋体"/>
        <w:b w:val="0"/>
        <w:i w:val="0"/>
        <w:sz w:val="28"/>
      </w:rPr>
    </w:lvl>
    <w:lvl w:ilvl="5" w:tentative="0">
      <w:start w:val="1"/>
      <w:numFmt w:val="decimal"/>
      <w:lvlText w:val="%1.%2.%3.%4.%5.%6"/>
      <w:lvlJc w:val="left"/>
      <w:pPr>
        <w:tabs>
          <w:tab w:val="left" w:pos="1800"/>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2160"/>
        </w:tabs>
        <w:ind w:left="1440" w:hanging="1440"/>
      </w:pPr>
      <w:rPr>
        <w:rFonts w:hint="eastAsia"/>
      </w:rPr>
    </w:lvl>
    <w:lvl w:ilvl="8" w:tentative="0">
      <w:start w:val="1"/>
      <w:numFmt w:val="decimal"/>
      <w:lvlText w:val="表1-%9"/>
      <w:lvlJc w:val="left"/>
      <w:pPr>
        <w:tabs>
          <w:tab w:val="left" w:pos="1534"/>
        </w:tabs>
        <w:ind w:left="284" w:firstLine="170"/>
      </w:pPr>
      <w:rPr>
        <w:rFonts w:hint="eastAsia"/>
      </w:rPr>
    </w:lvl>
  </w:abstractNum>
  <w:abstractNum w:abstractNumId="10">
    <w:nsid w:val="7B4529A5"/>
    <w:multiLevelType w:val="singleLevel"/>
    <w:tmpl w:val="7B4529A5"/>
    <w:lvl w:ilvl="0" w:tentative="0">
      <w:start w:val="3"/>
      <w:numFmt w:val="decimal"/>
      <w:suff w:val="nothing"/>
      <w:lvlText w:val="%1、"/>
      <w:lvlJc w:val="left"/>
    </w:lvl>
  </w:abstractNum>
  <w:num w:numId="1">
    <w:abstractNumId w:val="9"/>
  </w:num>
  <w:num w:numId="2">
    <w:abstractNumId w:val="3"/>
  </w:num>
  <w:num w:numId="3">
    <w:abstractNumId w:val="7"/>
  </w:num>
  <w:num w:numId="4">
    <w:abstractNumId w:val="1"/>
  </w:num>
  <w:num w:numId="5">
    <w:abstractNumId w:val="10"/>
  </w:num>
  <w:num w:numId="6">
    <w:abstractNumId w:val="0"/>
  </w:num>
  <w:num w:numId="7">
    <w:abstractNumId w:val="5"/>
  </w:num>
  <w:num w:numId="8">
    <w:abstractNumId w:val="6"/>
  </w:num>
  <w:num w:numId="9">
    <w:abstractNumId w:val="8"/>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rsids>
    <w:rsidRoot w:val="2AF14FDA"/>
    <w:rsid w:val="00005402"/>
    <w:rsid w:val="000129BC"/>
    <w:rsid w:val="000C5504"/>
    <w:rsid w:val="000D4631"/>
    <w:rsid w:val="000E1D19"/>
    <w:rsid w:val="00120C3B"/>
    <w:rsid w:val="0014583A"/>
    <w:rsid w:val="00145A89"/>
    <w:rsid w:val="00175A3B"/>
    <w:rsid w:val="00237485"/>
    <w:rsid w:val="002575A7"/>
    <w:rsid w:val="00273B32"/>
    <w:rsid w:val="002C3B57"/>
    <w:rsid w:val="002D04EF"/>
    <w:rsid w:val="002E23A7"/>
    <w:rsid w:val="002F0466"/>
    <w:rsid w:val="00355A84"/>
    <w:rsid w:val="00390F83"/>
    <w:rsid w:val="003A591A"/>
    <w:rsid w:val="00427AA7"/>
    <w:rsid w:val="004304B6"/>
    <w:rsid w:val="00440A1F"/>
    <w:rsid w:val="00453F90"/>
    <w:rsid w:val="0049185B"/>
    <w:rsid w:val="004950F2"/>
    <w:rsid w:val="004B54E3"/>
    <w:rsid w:val="004D2DE7"/>
    <w:rsid w:val="004E5C87"/>
    <w:rsid w:val="0051101F"/>
    <w:rsid w:val="00513D29"/>
    <w:rsid w:val="00547064"/>
    <w:rsid w:val="00565BB1"/>
    <w:rsid w:val="0059113B"/>
    <w:rsid w:val="005E39B4"/>
    <w:rsid w:val="0063053E"/>
    <w:rsid w:val="006307CC"/>
    <w:rsid w:val="00676303"/>
    <w:rsid w:val="006E5588"/>
    <w:rsid w:val="00716C5A"/>
    <w:rsid w:val="00765E2E"/>
    <w:rsid w:val="007B24E0"/>
    <w:rsid w:val="00800643"/>
    <w:rsid w:val="00812BE3"/>
    <w:rsid w:val="00821131"/>
    <w:rsid w:val="00847B30"/>
    <w:rsid w:val="008922F5"/>
    <w:rsid w:val="008953F8"/>
    <w:rsid w:val="008C3FED"/>
    <w:rsid w:val="008F1353"/>
    <w:rsid w:val="009617A3"/>
    <w:rsid w:val="009D19D0"/>
    <w:rsid w:val="00A01227"/>
    <w:rsid w:val="00A85B94"/>
    <w:rsid w:val="00AA3A92"/>
    <w:rsid w:val="00AC18C0"/>
    <w:rsid w:val="00B540B2"/>
    <w:rsid w:val="00B55FD0"/>
    <w:rsid w:val="00B63629"/>
    <w:rsid w:val="00B84614"/>
    <w:rsid w:val="00BB2E59"/>
    <w:rsid w:val="00BD4D3F"/>
    <w:rsid w:val="00BE17D3"/>
    <w:rsid w:val="00C1271F"/>
    <w:rsid w:val="00C50AD7"/>
    <w:rsid w:val="00C8237E"/>
    <w:rsid w:val="00C9425F"/>
    <w:rsid w:val="00CD0DA9"/>
    <w:rsid w:val="00CE51EB"/>
    <w:rsid w:val="00CE7C77"/>
    <w:rsid w:val="00CF2C98"/>
    <w:rsid w:val="00CF3455"/>
    <w:rsid w:val="00CF47E4"/>
    <w:rsid w:val="00CF70D4"/>
    <w:rsid w:val="00D03CC9"/>
    <w:rsid w:val="00D20FC1"/>
    <w:rsid w:val="00DC08B9"/>
    <w:rsid w:val="00DC3DC7"/>
    <w:rsid w:val="00DC5FAD"/>
    <w:rsid w:val="00DD29AA"/>
    <w:rsid w:val="00DD5E5E"/>
    <w:rsid w:val="00DE625A"/>
    <w:rsid w:val="00DF26A9"/>
    <w:rsid w:val="00DF582E"/>
    <w:rsid w:val="00E16CBF"/>
    <w:rsid w:val="00E72CAF"/>
    <w:rsid w:val="00E752B0"/>
    <w:rsid w:val="00EA7EBF"/>
    <w:rsid w:val="00EE17DD"/>
    <w:rsid w:val="00F365ED"/>
    <w:rsid w:val="00FE1270"/>
    <w:rsid w:val="00FE4504"/>
    <w:rsid w:val="00FF62C5"/>
    <w:rsid w:val="0136732D"/>
    <w:rsid w:val="014071D3"/>
    <w:rsid w:val="014A2DD9"/>
    <w:rsid w:val="01565C22"/>
    <w:rsid w:val="01567B20"/>
    <w:rsid w:val="01730582"/>
    <w:rsid w:val="01F3258D"/>
    <w:rsid w:val="023B45DE"/>
    <w:rsid w:val="02A4476B"/>
    <w:rsid w:val="02F474A0"/>
    <w:rsid w:val="031F2043"/>
    <w:rsid w:val="033F6F53"/>
    <w:rsid w:val="038F71C9"/>
    <w:rsid w:val="03E868D9"/>
    <w:rsid w:val="03FB485E"/>
    <w:rsid w:val="041E22FB"/>
    <w:rsid w:val="045B1761"/>
    <w:rsid w:val="04706FFA"/>
    <w:rsid w:val="048B7990"/>
    <w:rsid w:val="04B2316F"/>
    <w:rsid w:val="052F6E11"/>
    <w:rsid w:val="055204AE"/>
    <w:rsid w:val="05551F59"/>
    <w:rsid w:val="0617346F"/>
    <w:rsid w:val="062F259D"/>
    <w:rsid w:val="064047AA"/>
    <w:rsid w:val="06CD0536"/>
    <w:rsid w:val="06D111D0"/>
    <w:rsid w:val="072B7208"/>
    <w:rsid w:val="072D60F3"/>
    <w:rsid w:val="07612C2A"/>
    <w:rsid w:val="07893F2F"/>
    <w:rsid w:val="07910380"/>
    <w:rsid w:val="07A019A5"/>
    <w:rsid w:val="080C48FA"/>
    <w:rsid w:val="082276C9"/>
    <w:rsid w:val="082371A9"/>
    <w:rsid w:val="083B791F"/>
    <w:rsid w:val="084A5DB4"/>
    <w:rsid w:val="087B7D1C"/>
    <w:rsid w:val="08A54D99"/>
    <w:rsid w:val="08B66FA6"/>
    <w:rsid w:val="090B597F"/>
    <w:rsid w:val="0911242E"/>
    <w:rsid w:val="094A2B91"/>
    <w:rsid w:val="098B21E0"/>
    <w:rsid w:val="09BB5BCC"/>
    <w:rsid w:val="0A7669ED"/>
    <w:rsid w:val="0ABE37F3"/>
    <w:rsid w:val="0AC219C7"/>
    <w:rsid w:val="0B2823DD"/>
    <w:rsid w:val="0B664CB3"/>
    <w:rsid w:val="0B680A2B"/>
    <w:rsid w:val="0B693AF6"/>
    <w:rsid w:val="0BA457DB"/>
    <w:rsid w:val="0BD95485"/>
    <w:rsid w:val="0C1F4E62"/>
    <w:rsid w:val="0C4D340C"/>
    <w:rsid w:val="0C9475FE"/>
    <w:rsid w:val="0CA57A5D"/>
    <w:rsid w:val="0D1A1B2A"/>
    <w:rsid w:val="0D307327"/>
    <w:rsid w:val="0D5B2753"/>
    <w:rsid w:val="0D821B4C"/>
    <w:rsid w:val="0DE0605C"/>
    <w:rsid w:val="0E0407B3"/>
    <w:rsid w:val="0E083E00"/>
    <w:rsid w:val="0E087ECA"/>
    <w:rsid w:val="0E3E5A73"/>
    <w:rsid w:val="0E4A266A"/>
    <w:rsid w:val="0E547045"/>
    <w:rsid w:val="0E9B1118"/>
    <w:rsid w:val="0EBD415F"/>
    <w:rsid w:val="0F130067"/>
    <w:rsid w:val="0F2729AB"/>
    <w:rsid w:val="0F763231"/>
    <w:rsid w:val="104B26C9"/>
    <w:rsid w:val="10B75BCF"/>
    <w:rsid w:val="10CF2C93"/>
    <w:rsid w:val="10E53FF0"/>
    <w:rsid w:val="10F246E4"/>
    <w:rsid w:val="11392EC9"/>
    <w:rsid w:val="116925DA"/>
    <w:rsid w:val="11A402E3"/>
    <w:rsid w:val="11B374A5"/>
    <w:rsid w:val="12011292"/>
    <w:rsid w:val="1235718D"/>
    <w:rsid w:val="12467B5B"/>
    <w:rsid w:val="12577104"/>
    <w:rsid w:val="127C4DBC"/>
    <w:rsid w:val="136A6385"/>
    <w:rsid w:val="136C3083"/>
    <w:rsid w:val="137A57A0"/>
    <w:rsid w:val="13A24CF6"/>
    <w:rsid w:val="141E1B83"/>
    <w:rsid w:val="143811B7"/>
    <w:rsid w:val="146D2C0E"/>
    <w:rsid w:val="149363ED"/>
    <w:rsid w:val="14B36B99"/>
    <w:rsid w:val="14E629C1"/>
    <w:rsid w:val="14FF10B3"/>
    <w:rsid w:val="15271294"/>
    <w:rsid w:val="157306F8"/>
    <w:rsid w:val="15BF2FBD"/>
    <w:rsid w:val="15E02488"/>
    <w:rsid w:val="161643B8"/>
    <w:rsid w:val="16227722"/>
    <w:rsid w:val="164107F7"/>
    <w:rsid w:val="16695657"/>
    <w:rsid w:val="168B7CC4"/>
    <w:rsid w:val="16D276A1"/>
    <w:rsid w:val="16DD7611"/>
    <w:rsid w:val="17343EB7"/>
    <w:rsid w:val="174835A1"/>
    <w:rsid w:val="1752433D"/>
    <w:rsid w:val="17562080"/>
    <w:rsid w:val="177046F6"/>
    <w:rsid w:val="17AD430E"/>
    <w:rsid w:val="17FD074D"/>
    <w:rsid w:val="18190834"/>
    <w:rsid w:val="1827564D"/>
    <w:rsid w:val="182A0E16"/>
    <w:rsid w:val="188449CB"/>
    <w:rsid w:val="18E2741A"/>
    <w:rsid w:val="19226284"/>
    <w:rsid w:val="193405B1"/>
    <w:rsid w:val="19FB6F0E"/>
    <w:rsid w:val="1A2D58FF"/>
    <w:rsid w:val="1A703458"/>
    <w:rsid w:val="1A98650B"/>
    <w:rsid w:val="1B232D26"/>
    <w:rsid w:val="1B783377"/>
    <w:rsid w:val="1B89014D"/>
    <w:rsid w:val="1BE86120"/>
    <w:rsid w:val="1BF029D5"/>
    <w:rsid w:val="1C534DE0"/>
    <w:rsid w:val="1D022362"/>
    <w:rsid w:val="1D0D1432"/>
    <w:rsid w:val="1D305121"/>
    <w:rsid w:val="1D35031B"/>
    <w:rsid w:val="1D383571"/>
    <w:rsid w:val="1D8D3025"/>
    <w:rsid w:val="1D9751A0"/>
    <w:rsid w:val="1DA43419"/>
    <w:rsid w:val="1E37603B"/>
    <w:rsid w:val="1F0F57BB"/>
    <w:rsid w:val="1F3C1B5B"/>
    <w:rsid w:val="1FDC54CE"/>
    <w:rsid w:val="20450EE3"/>
    <w:rsid w:val="2057409C"/>
    <w:rsid w:val="20766694"/>
    <w:rsid w:val="20783067"/>
    <w:rsid w:val="20EF2BFD"/>
    <w:rsid w:val="20FD0AEC"/>
    <w:rsid w:val="20FF1092"/>
    <w:rsid w:val="217C26E3"/>
    <w:rsid w:val="21C422DC"/>
    <w:rsid w:val="21ED538F"/>
    <w:rsid w:val="21FE6338"/>
    <w:rsid w:val="22433200"/>
    <w:rsid w:val="224C47AB"/>
    <w:rsid w:val="22934188"/>
    <w:rsid w:val="230E1A60"/>
    <w:rsid w:val="23111551"/>
    <w:rsid w:val="23333A55"/>
    <w:rsid w:val="23337719"/>
    <w:rsid w:val="2378262C"/>
    <w:rsid w:val="238B02C1"/>
    <w:rsid w:val="23B52D23"/>
    <w:rsid w:val="23D72FAC"/>
    <w:rsid w:val="23FC763B"/>
    <w:rsid w:val="24431B6E"/>
    <w:rsid w:val="245A2A83"/>
    <w:rsid w:val="246A514C"/>
    <w:rsid w:val="249B7324"/>
    <w:rsid w:val="25565E93"/>
    <w:rsid w:val="25776927"/>
    <w:rsid w:val="2593449F"/>
    <w:rsid w:val="25AE12D9"/>
    <w:rsid w:val="25CD5AD7"/>
    <w:rsid w:val="260929B3"/>
    <w:rsid w:val="263A2B6C"/>
    <w:rsid w:val="269B7B47"/>
    <w:rsid w:val="26BF5DC0"/>
    <w:rsid w:val="26F7280B"/>
    <w:rsid w:val="27074D51"/>
    <w:rsid w:val="277B51EB"/>
    <w:rsid w:val="27A02EA3"/>
    <w:rsid w:val="27CE7A10"/>
    <w:rsid w:val="28506677"/>
    <w:rsid w:val="28E9787B"/>
    <w:rsid w:val="29891E41"/>
    <w:rsid w:val="298963C1"/>
    <w:rsid w:val="29A90022"/>
    <w:rsid w:val="29C323FB"/>
    <w:rsid w:val="29CC7F7F"/>
    <w:rsid w:val="29E277A3"/>
    <w:rsid w:val="2A09609E"/>
    <w:rsid w:val="2A292D24"/>
    <w:rsid w:val="2A2F5729"/>
    <w:rsid w:val="2A427557"/>
    <w:rsid w:val="2A4A0A30"/>
    <w:rsid w:val="2A6B7798"/>
    <w:rsid w:val="2A731ED7"/>
    <w:rsid w:val="2A915A0E"/>
    <w:rsid w:val="2ABA19BE"/>
    <w:rsid w:val="2AF14FDA"/>
    <w:rsid w:val="2B193698"/>
    <w:rsid w:val="2B7733E2"/>
    <w:rsid w:val="2B7B1DC1"/>
    <w:rsid w:val="2B8C79C6"/>
    <w:rsid w:val="2BA47406"/>
    <w:rsid w:val="2BBB64FD"/>
    <w:rsid w:val="2BC453B2"/>
    <w:rsid w:val="2BD3734B"/>
    <w:rsid w:val="2C550700"/>
    <w:rsid w:val="2C602C01"/>
    <w:rsid w:val="2C680433"/>
    <w:rsid w:val="2C815051"/>
    <w:rsid w:val="2C8E18DC"/>
    <w:rsid w:val="2CA33174"/>
    <w:rsid w:val="2D1057CD"/>
    <w:rsid w:val="2D1144BD"/>
    <w:rsid w:val="2D3447B9"/>
    <w:rsid w:val="2D914CD1"/>
    <w:rsid w:val="2DAE4BCF"/>
    <w:rsid w:val="2E2A34C6"/>
    <w:rsid w:val="2E2E2E3E"/>
    <w:rsid w:val="2E494294"/>
    <w:rsid w:val="2E666BF4"/>
    <w:rsid w:val="2E950C72"/>
    <w:rsid w:val="2EAB4607"/>
    <w:rsid w:val="2F6D7B0F"/>
    <w:rsid w:val="2F6F7D2B"/>
    <w:rsid w:val="30E81B43"/>
    <w:rsid w:val="31101099"/>
    <w:rsid w:val="311C17EC"/>
    <w:rsid w:val="317F40BD"/>
    <w:rsid w:val="31EA5447"/>
    <w:rsid w:val="31F30EB2"/>
    <w:rsid w:val="322079C5"/>
    <w:rsid w:val="3236068C"/>
    <w:rsid w:val="324A05DB"/>
    <w:rsid w:val="32FB415D"/>
    <w:rsid w:val="32FF3BCE"/>
    <w:rsid w:val="331C0D3B"/>
    <w:rsid w:val="33513762"/>
    <w:rsid w:val="33524AF4"/>
    <w:rsid w:val="337E22EA"/>
    <w:rsid w:val="33C57F19"/>
    <w:rsid w:val="341D2430"/>
    <w:rsid w:val="34321327"/>
    <w:rsid w:val="34730501"/>
    <w:rsid w:val="347D6A46"/>
    <w:rsid w:val="34943D90"/>
    <w:rsid w:val="352D7F70"/>
    <w:rsid w:val="35447564"/>
    <w:rsid w:val="355C48AD"/>
    <w:rsid w:val="35AF70D3"/>
    <w:rsid w:val="35BA60CE"/>
    <w:rsid w:val="35D41DAC"/>
    <w:rsid w:val="35D97CAC"/>
    <w:rsid w:val="35EE67BF"/>
    <w:rsid w:val="365437D6"/>
    <w:rsid w:val="366B28CE"/>
    <w:rsid w:val="36782A6C"/>
    <w:rsid w:val="36B353F8"/>
    <w:rsid w:val="36BB5A02"/>
    <w:rsid w:val="36CB3ED7"/>
    <w:rsid w:val="36DF7544"/>
    <w:rsid w:val="36E52680"/>
    <w:rsid w:val="371B2546"/>
    <w:rsid w:val="371C75AC"/>
    <w:rsid w:val="372B5396"/>
    <w:rsid w:val="374D1D42"/>
    <w:rsid w:val="377F2AD5"/>
    <w:rsid w:val="37B00EE0"/>
    <w:rsid w:val="37C13800"/>
    <w:rsid w:val="37F54F43"/>
    <w:rsid w:val="37F67A54"/>
    <w:rsid w:val="38044D88"/>
    <w:rsid w:val="382316B2"/>
    <w:rsid w:val="388D1222"/>
    <w:rsid w:val="38D64977"/>
    <w:rsid w:val="394B7825"/>
    <w:rsid w:val="397523E2"/>
    <w:rsid w:val="3A233BEC"/>
    <w:rsid w:val="3A282FB0"/>
    <w:rsid w:val="3A791A5E"/>
    <w:rsid w:val="3A7B5195"/>
    <w:rsid w:val="3B225C51"/>
    <w:rsid w:val="3B585B17"/>
    <w:rsid w:val="3B903503"/>
    <w:rsid w:val="3BFF2436"/>
    <w:rsid w:val="3C55583B"/>
    <w:rsid w:val="3C8F69BD"/>
    <w:rsid w:val="3D8A3F82"/>
    <w:rsid w:val="3E3F4D6C"/>
    <w:rsid w:val="3EAB41B0"/>
    <w:rsid w:val="3EB67051"/>
    <w:rsid w:val="3EC534C3"/>
    <w:rsid w:val="3F446ADE"/>
    <w:rsid w:val="3F463268"/>
    <w:rsid w:val="3F8139FC"/>
    <w:rsid w:val="3FB35A12"/>
    <w:rsid w:val="3FC45529"/>
    <w:rsid w:val="3FD213B8"/>
    <w:rsid w:val="3FDA2F9E"/>
    <w:rsid w:val="3FEB6F5A"/>
    <w:rsid w:val="3FF916F0"/>
    <w:rsid w:val="4005305C"/>
    <w:rsid w:val="404E74E8"/>
    <w:rsid w:val="40B400A1"/>
    <w:rsid w:val="40E1210B"/>
    <w:rsid w:val="40E578DE"/>
    <w:rsid w:val="41332AFA"/>
    <w:rsid w:val="41354D47"/>
    <w:rsid w:val="4144379C"/>
    <w:rsid w:val="41727207"/>
    <w:rsid w:val="41DE6F40"/>
    <w:rsid w:val="41FB36A0"/>
    <w:rsid w:val="42962E63"/>
    <w:rsid w:val="42B37AD7"/>
    <w:rsid w:val="42EA174A"/>
    <w:rsid w:val="43830635"/>
    <w:rsid w:val="439E5C7C"/>
    <w:rsid w:val="43A318F9"/>
    <w:rsid w:val="43D917BF"/>
    <w:rsid w:val="43EA577A"/>
    <w:rsid w:val="43FD661B"/>
    <w:rsid w:val="443A225E"/>
    <w:rsid w:val="445B14BB"/>
    <w:rsid w:val="44E5416A"/>
    <w:rsid w:val="45102FBE"/>
    <w:rsid w:val="45151D6A"/>
    <w:rsid w:val="456B25D1"/>
    <w:rsid w:val="458A60D0"/>
    <w:rsid w:val="45BB6C39"/>
    <w:rsid w:val="45C94C84"/>
    <w:rsid w:val="467F6EAE"/>
    <w:rsid w:val="46A75BA4"/>
    <w:rsid w:val="46BD6350"/>
    <w:rsid w:val="46F54B62"/>
    <w:rsid w:val="475353E4"/>
    <w:rsid w:val="47803FAD"/>
    <w:rsid w:val="47B45253"/>
    <w:rsid w:val="47C25BE4"/>
    <w:rsid w:val="48044449"/>
    <w:rsid w:val="48115298"/>
    <w:rsid w:val="484E0502"/>
    <w:rsid w:val="48517B76"/>
    <w:rsid w:val="48D04F3E"/>
    <w:rsid w:val="48FF75D2"/>
    <w:rsid w:val="490B5F77"/>
    <w:rsid w:val="492C5D96"/>
    <w:rsid w:val="49311755"/>
    <w:rsid w:val="494D658F"/>
    <w:rsid w:val="4953791E"/>
    <w:rsid w:val="49D2118A"/>
    <w:rsid w:val="49D24CE6"/>
    <w:rsid w:val="4A0707E1"/>
    <w:rsid w:val="4A190B67"/>
    <w:rsid w:val="4A3A6944"/>
    <w:rsid w:val="4A3C3D1F"/>
    <w:rsid w:val="4A6C6EE9"/>
    <w:rsid w:val="4A767D68"/>
    <w:rsid w:val="4AA46683"/>
    <w:rsid w:val="4B0F609E"/>
    <w:rsid w:val="4B2E23F0"/>
    <w:rsid w:val="4B46598C"/>
    <w:rsid w:val="4BC30D8B"/>
    <w:rsid w:val="4C0513A3"/>
    <w:rsid w:val="4C097F97"/>
    <w:rsid w:val="4C387920"/>
    <w:rsid w:val="4C520360"/>
    <w:rsid w:val="4C940EBC"/>
    <w:rsid w:val="4C9D782D"/>
    <w:rsid w:val="4CC21042"/>
    <w:rsid w:val="4CDD5E7C"/>
    <w:rsid w:val="4CFB09F8"/>
    <w:rsid w:val="4D2409BE"/>
    <w:rsid w:val="4D2770F7"/>
    <w:rsid w:val="4D5A3BC7"/>
    <w:rsid w:val="4DBA5DD4"/>
    <w:rsid w:val="4DC05338"/>
    <w:rsid w:val="4E196C60"/>
    <w:rsid w:val="4E4B537E"/>
    <w:rsid w:val="4E61488B"/>
    <w:rsid w:val="4E883AF0"/>
    <w:rsid w:val="4EAA7467"/>
    <w:rsid w:val="4EBE1CDD"/>
    <w:rsid w:val="4ED65279"/>
    <w:rsid w:val="4F0040A4"/>
    <w:rsid w:val="4F912F4E"/>
    <w:rsid w:val="4FB235F0"/>
    <w:rsid w:val="4FE77AF3"/>
    <w:rsid w:val="50462DAE"/>
    <w:rsid w:val="505E1082"/>
    <w:rsid w:val="50854860"/>
    <w:rsid w:val="508D1967"/>
    <w:rsid w:val="50AD0FA8"/>
    <w:rsid w:val="51395803"/>
    <w:rsid w:val="5157551E"/>
    <w:rsid w:val="519F7BA4"/>
    <w:rsid w:val="51C55131"/>
    <w:rsid w:val="523D0E4F"/>
    <w:rsid w:val="523F74C8"/>
    <w:rsid w:val="52794632"/>
    <w:rsid w:val="52A336C4"/>
    <w:rsid w:val="53570112"/>
    <w:rsid w:val="53715570"/>
    <w:rsid w:val="53AA0D7E"/>
    <w:rsid w:val="53ED01C1"/>
    <w:rsid w:val="53FE4994"/>
    <w:rsid w:val="540F11CB"/>
    <w:rsid w:val="54624E60"/>
    <w:rsid w:val="546D3F89"/>
    <w:rsid w:val="54AB503B"/>
    <w:rsid w:val="55293ACA"/>
    <w:rsid w:val="553700F3"/>
    <w:rsid w:val="555B2034"/>
    <w:rsid w:val="556C2493"/>
    <w:rsid w:val="55BC7137"/>
    <w:rsid w:val="56456BC3"/>
    <w:rsid w:val="565031F4"/>
    <w:rsid w:val="569A3030"/>
    <w:rsid w:val="571701DC"/>
    <w:rsid w:val="571C7A27"/>
    <w:rsid w:val="573174F0"/>
    <w:rsid w:val="57603931"/>
    <w:rsid w:val="576378C6"/>
    <w:rsid w:val="578A7A3C"/>
    <w:rsid w:val="579161E1"/>
    <w:rsid w:val="57AD1917"/>
    <w:rsid w:val="57E02CC4"/>
    <w:rsid w:val="584F0427"/>
    <w:rsid w:val="586E02D0"/>
    <w:rsid w:val="58A504A8"/>
    <w:rsid w:val="59374B66"/>
    <w:rsid w:val="59561AE4"/>
    <w:rsid w:val="595B0854"/>
    <w:rsid w:val="59811520"/>
    <w:rsid w:val="59F45AD3"/>
    <w:rsid w:val="5A543E69"/>
    <w:rsid w:val="5A83754C"/>
    <w:rsid w:val="5AC24903"/>
    <w:rsid w:val="5AC93109"/>
    <w:rsid w:val="5BA87F9D"/>
    <w:rsid w:val="5C3C37CF"/>
    <w:rsid w:val="5CB52971"/>
    <w:rsid w:val="5D126DFC"/>
    <w:rsid w:val="5D485594"/>
    <w:rsid w:val="5D551A5E"/>
    <w:rsid w:val="5D5B20CB"/>
    <w:rsid w:val="5D827F8E"/>
    <w:rsid w:val="5D8A0DF9"/>
    <w:rsid w:val="5E070FAB"/>
    <w:rsid w:val="5EB56C59"/>
    <w:rsid w:val="5ECE51B9"/>
    <w:rsid w:val="5ED2780B"/>
    <w:rsid w:val="5EF57055"/>
    <w:rsid w:val="5F21609C"/>
    <w:rsid w:val="5F296CFF"/>
    <w:rsid w:val="5F58396C"/>
    <w:rsid w:val="5F9A19AB"/>
    <w:rsid w:val="5FAD5B82"/>
    <w:rsid w:val="5FFB5E88"/>
    <w:rsid w:val="6037544B"/>
    <w:rsid w:val="607E12CC"/>
    <w:rsid w:val="60D76F82"/>
    <w:rsid w:val="60E07891"/>
    <w:rsid w:val="60FD0443"/>
    <w:rsid w:val="61363955"/>
    <w:rsid w:val="615E4C3A"/>
    <w:rsid w:val="61683D01"/>
    <w:rsid w:val="6177468D"/>
    <w:rsid w:val="61844B11"/>
    <w:rsid w:val="61A82AA5"/>
    <w:rsid w:val="61C805F8"/>
    <w:rsid w:val="61D27EA1"/>
    <w:rsid w:val="625E3163"/>
    <w:rsid w:val="627110E9"/>
    <w:rsid w:val="628E1C9B"/>
    <w:rsid w:val="62A96AD4"/>
    <w:rsid w:val="62C25F77"/>
    <w:rsid w:val="63971802"/>
    <w:rsid w:val="639C10F8"/>
    <w:rsid w:val="63AD559E"/>
    <w:rsid w:val="63DD0CDE"/>
    <w:rsid w:val="63F8168E"/>
    <w:rsid w:val="64340620"/>
    <w:rsid w:val="6493693E"/>
    <w:rsid w:val="64B35D5A"/>
    <w:rsid w:val="6545060B"/>
    <w:rsid w:val="657131AE"/>
    <w:rsid w:val="65B11292"/>
    <w:rsid w:val="65D976D1"/>
    <w:rsid w:val="65DC0B09"/>
    <w:rsid w:val="661544A9"/>
    <w:rsid w:val="66252916"/>
    <w:rsid w:val="66862C89"/>
    <w:rsid w:val="66DE64A1"/>
    <w:rsid w:val="67186D32"/>
    <w:rsid w:val="67197596"/>
    <w:rsid w:val="676674E5"/>
    <w:rsid w:val="678E03A2"/>
    <w:rsid w:val="6796514D"/>
    <w:rsid w:val="67BD26DA"/>
    <w:rsid w:val="686447F2"/>
    <w:rsid w:val="688431F8"/>
    <w:rsid w:val="68F476CB"/>
    <w:rsid w:val="693F7A3E"/>
    <w:rsid w:val="69AF24F6"/>
    <w:rsid w:val="69BE3CC8"/>
    <w:rsid w:val="6A0445F0"/>
    <w:rsid w:val="6A2A49B6"/>
    <w:rsid w:val="6A6B28C1"/>
    <w:rsid w:val="6ADC731B"/>
    <w:rsid w:val="6ADE7537"/>
    <w:rsid w:val="6B1A4467"/>
    <w:rsid w:val="6B492CD9"/>
    <w:rsid w:val="6B9637BB"/>
    <w:rsid w:val="6C88775B"/>
    <w:rsid w:val="6CA51E3D"/>
    <w:rsid w:val="6CDE737B"/>
    <w:rsid w:val="6D3E0164"/>
    <w:rsid w:val="6D454822"/>
    <w:rsid w:val="6D7E0E23"/>
    <w:rsid w:val="6DBE71AC"/>
    <w:rsid w:val="6E267D90"/>
    <w:rsid w:val="6EB76023"/>
    <w:rsid w:val="6EE964AB"/>
    <w:rsid w:val="6F3277A9"/>
    <w:rsid w:val="6F6D0E8A"/>
    <w:rsid w:val="6F881820"/>
    <w:rsid w:val="6F9E1043"/>
    <w:rsid w:val="6FAC5D4C"/>
    <w:rsid w:val="6FD527D6"/>
    <w:rsid w:val="6FF70753"/>
    <w:rsid w:val="705B6F34"/>
    <w:rsid w:val="70640CCF"/>
    <w:rsid w:val="709C0F5D"/>
    <w:rsid w:val="70AF7F6D"/>
    <w:rsid w:val="711C4915"/>
    <w:rsid w:val="71436346"/>
    <w:rsid w:val="7163442E"/>
    <w:rsid w:val="71973F9C"/>
    <w:rsid w:val="71A55281"/>
    <w:rsid w:val="71AA1F21"/>
    <w:rsid w:val="72121874"/>
    <w:rsid w:val="722825CE"/>
    <w:rsid w:val="723143F0"/>
    <w:rsid w:val="724E6A67"/>
    <w:rsid w:val="72A42EE3"/>
    <w:rsid w:val="72D9462C"/>
    <w:rsid w:val="72E334FD"/>
    <w:rsid w:val="72ED47BB"/>
    <w:rsid w:val="732F740C"/>
    <w:rsid w:val="7346211D"/>
    <w:rsid w:val="73A37BC5"/>
    <w:rsid w:val="73AA1159"/>
    <w:rsid w:val="73FC4B8F"/>
    <w:rsid w:val="749B3DA3"/>
    <w:rsid w:val="74F51705"/>
    <w:rsid w:val="74F87CB7"/>
    <w:rsid w:val="751F49D4"/>
    <w:rsid w:val="75295853"/>
    <w:rsid w:val="759B7146"/>
    <w:rsid w:val="75CA7C65"/>
    <w:rsid w:val="75E378AF"/>
    <w:rsid w:val="75EF084A"/>
    <w:rsid w:val="76067942"/>
    <w:rsid w:val="765406AD"/>
    <w:rsid w:val="765F1DEE"/>
    <w:rsid w:val="76C84BF7"/>
    <w:rsid w:val="76DF3965"/>
    <w:rsid w:val="77302EC9"/>
    <w:rsid w:val="773A13B4"/>
    <w:rsid w:val="77422BFC"/>
    <w:rsid w:val="77AF64E3"/>
    <w:rsid w:val="77BC29AE"/>
    <w:rsid w:val="780E2ADE"/>
    <w:rsid w:val="78752898"/>
    <w:rsid w:val="789005C7"/>
    <w:rsid w:val="78B94161"/>
    <w:rsid w:val="78CE02C8"/>
    <w:rsid w:val="78DF49B3"/>
    <w:rsid w:val="78F9378E"/>
    <w:rsid w:val="79030169"/>
    <w:rsid w:val="790740FD"/>
    <w:rsid w:val="790F4D60"/>
    <w:rsid w:val="79235AE9"/>
    <w:rsid w:val="79305402"/>
    <w:rsid w:val="79775CD1"/>
    <w:rsid w:val="798B433F"/>
    <w:rsid w:val="79A14858"/>
    <w:rsid w:val="79B54119"/>
    <w:rsid w:val="79C618C2"/>
    <w:rsid w:val="79C95770"/>
    <w:rsid w:val="7A4D3D91"/>
    <w:rsid w:val="7A765096"/>
    <w:rsid w:val="7AA975E0"/>
    <w:rsid w:val="7BAB20E6"/>
    <w:rsid w:val="7C8D043C"/>
    <w:rsid w:val="7D014CCD"/>
    <w:rsid w:val="7D045478"/>
    <w:rsid w:val="7D260ECA"/>
    <w:rsid w:val="7D8A2C07"/>
    <w:rsid w:val="7D926489"/>
    <w:rsid w:val="7D9D6DDE"/>
    <w:rsid w:val="7DA27FCE"/>
    <w:rsid w:val="7DEC38C1"/>
    <w:rsid w:val="7ED625A7"/>
    <w:rsid w:val="7F192494"/>
    <w:rsid w:val="7FB14DC3"/>
    <w:rsid w:val="7FC51D4D"/>
    <w:rsid w:val="7FEC6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43"/>
        <o:r id="V:Rule2" type="connector" idref="#直接箭头连接符 44"/>
        <o:r id="V:Rule3" type="connector" idref="#_x0000_s2063"/>
        <o:r id="V:Rule4" type="connector" idref="#_x0000_s2065"/>
        <o:r id="V:Rule5" type="connector" idref="#_x0000_s2068"/>
        <o:r id="V:Rule6" type="connector" idref="#_x0000_s2071"/>
        <o:r id="V:Rule7" type="connector" idref="#直接箭头连接符 43"/>
        <o:r id="V:Rule8" type="connector" idref="#直接箭头连接符 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9"/>
    <w:pPr>
      <w:keepNext/>
      <w:keepLines/>
      <w:spacing w:line="360" w:lineRule="auto"/>
      <w:jc w:val="left"/>
      <w:outlineLvl w:val="1"/>
    </w:pPr>
    <w:rPr>
      <w:rFonts w:ascii="Arial" w:hAnsi="Arial" w:eastAsia="Times New Roman"/>
      <w:b/>
      <w:bCs/>
      <w:szCs w:val="32"/>
    </w:rPr>
  </w:style>
  <w:style w:type="paragraph" w:styleId="4">
    <w:name w:val="heading 3"/>
    <w:basedOn w:val="1"/>
    <w:next w:val="1"/>
    <w:qFormat/>
    <w:uiPriority w:val="0"/>
    <w:pPr>
      <w:keepLines/>
      <w:numPr>
        <w:ilvl w:val="2"/>
        <w:numId w:val="1"/>
      </w:numPr>
      <w:tabs>
        <w:tab w:val="left" w:pos="851"/>
      </w:tabs>
      <w:adjustRightInd w:val="0"/>
      <w:spacing w:line="360" w:lineRule="auto"/>
      <w:textAlignment w:val="bottom"/>
      <w:outlineLvl w:val="2"/>
    </w:pPr>
    <w:rPr>
      <w:kern w:val="0"/>
      <w:sz w:val="28"/>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next w:val="8"/>
    <w:semiHidden/>
    <w:qFormat/>
    <w:uiPriority w:val="0"/>
    <w:rPr>
      <w:rFonts w:ascii="Arial" w:hAnsi="Arial" w:eastAsia="Arial" w:cs="Arial"/>
      <w:szCs w:val="21"/>
      <w:lang w:eastAsia="en-US"/>
    </w:rPr>
  </w:style>
  <w:style w:type="paragraph" w:styleId="8">
    <w:name w:val="List Bullet 5"/>
    <w:basedOn w:val="1"/>
    <w:qFormat/>
    <w:uiPriority w:val="0"/>
    <w:pPr>
      <w:numPr>
        <w:ilvl w:val="0"/>
        <w:numId w:val="2"/>
      </w:numPr>
    </w:pPr>
  </w:style>
  <w:style w:type="paragraph" w:styleId="9">
    <w:name w:val="Body Text Indent"/>
    <w:basedOn w:val="1"/>
    <w:qFormat/>
    <w:uiPriority w:val="99"/>
    <w:pPr>
      <w:spacing w:after="120"/>
      <w:ind w:left="420" w:leftChars="200"/>
    </w:pPr>
  </w:style>
  <w:style w:type="paragraph" w:styleId="10">
    <w:name w:val="Plain Text"/>
    <w:basedOn w:val="1"/>
    <w:next w:val="11"/>
    <w:qFormat/>
    <w:uiPriority w:val="0"/>
    <w:rPr>
      <w:rFonts w:ascii="宋体" w:hAnsi="Courier New"/>
    </w:rPr>
  </w:style>
  <w:style w:type="paragraph" w:styleId="11">
    <w:name w:val="List Number 5"/>
    <w:basedOn w:val="1"/>
    <w:qFormat/>
    <w:uiPriority w:val="0"/>
    <w:pPr>
      <w:numPr>
        <w:ilvl w:val="0"/>
        <w:numId w:val="3"/>
      </w:numPr>
    </w:pPr>
  </w:style>
  <w:style w:type="paragraph" w:styleId="12">
    <w:name w:val="Balloon Text"/>
    <w:basedOn w:val="1"/>
    <w:link w:val="46"/>
    <w:qFormat/>
    <w:uiPriority w:val="0"/>
    <w:rPr>
      <w:sz w:val="18"/>
      <w:szCs w:val="18"/>
    </w:rPr>
  </w:style>
  <w:style w:type="paragraph" w:styleId="13">
    <w:name w:val="footer"/>
    <w:basedOn w:val="1"/>
    <w:next w:val="1"/>
    <w:qFormat/>
    <w:uiPriority w:val="99"/>
    <w:pPr>
      <w:tabs>
        <w:tab w:val="center" w:pos="4153"/>
        <w:tab w:val="right" w:pos="8306"/>
      </w:tabs>
      <w:snapToGrid w:val="0"/>
      <w:jc w:val="left"/>
    </w:pPr>
    <w:rPr>
      <w:kern w:val="0"/>
      <w:sz w:val="18"/>
      <w:szCs w:val="20"/>
    </w:rPr>
  </w:style>
  <w:style w:type="paragraph" w:styleId="14">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style>
  <w:style w:type="paragraph" w:styleId="16">
    <w:name w:val="index heading"/>
    <w:basedOn w:val="1"/>
    <w:next w:val="17"/>
    <w:unhideWhenUsed/>
    <w:qFormat/>
    <w:uiPriority w:val="99"/>
    <w:pPr>
      <w:adjustRightInd w:val="0"/>
      <w:snapToGrid w:val="0"/>
      <w:spacing w:line="360" w:lineRule="auto"/>
      <w:ind w:firstLine="200" w:firstLineChars="200"/>
    </w:pPr>
    <w:rPr>
      <w:rFonts w:ascii="Cambria" w:hAnsi="Cambria"/>
      <w:b/>
      <w:bCs/>
      <w:szCs w:val="22"/>
    </w:rPr>
  </w:style>
  <w:style w:type="paragraph" w:styleId="17">
    <w:name w:val="index 1"/>
    <w:basedOn w:val="1"/>
    <w:next w:val="1"/>
    <w:unhideWhenUsed/>
    <w:qFormat/>
    <w:uiPriority w:val="99"/>
  </w:style>
  <w:style w:type="paragraph" w:styleId="18">
    <w:name w:val="toc 2"/>
    <w:basedOn w:val="1"/>
    <w:next w:val="1"/>
    <w:semiHidden/>
    <w:qFormat/>
    <w:uiPriority w:val="39"/>
    <w:pPr>
      <w:jc w:val="center"/>
    </w:pPr>
    <w:rPr>
      <w:smallCaps/>
      <w:szCs w:val="21"/>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7"/>
    <w:unhideWhenUsed/>
    <w:qFormat/>
    <w:uiPriority w:val="99"/>
    <w:pPr>
      <w:spacing w:after="120" w:line="480" w:lineRule="exact"/>
      <w:ind w:firstLine="420" w:firstLineChars="100"/>
    </w:pPr>
    <w:rPr>
      <w:sz w:val="24"/>
      <w:szCs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0"/>
  </w:style>
  <w:style w:type="character" w:styleId="25">
    <w:name w:val="Emphasis"/>
    <w:basedOn w:val="23"/>
    <w:qFormat/>
    <w:uiPriority w:val="0"/>
    <w:rPr>
      <w:i/>
    </w:rPr>
  </w:style>
  <w:style w:type="character" w:styleId="26">
    <w:name w:val="Hyperlink"/>
    <w:qFormat/>
    <w:uiPriority w:val="99"/>
    <w:rPr>
      <w:color w:val="0563C1"/>
      <w:u w:val="single"/>
    </w:rPr>
  </w:style>
  <w:style w:type="paragraph" w:customStyle="1" w:styleId="27">
    <w:name w:val="Default"/>
    <w:basedOn w:val="28"/>
    <w:next w:val="29"/>
    <w:qFormat/>
    <w:uiPriority w:val="0"/>
    <w:pPr>
      <w:autoSpaceDE w:val="0"/>
      <w:autoSpaceDN w:val="0"/>
    </w:pPr>
    <w:rPr>
      <w:color w:val="000000"/>
      <w:sz w:val="24"/>
      <w:szCs w:val="24"/>
    </w:rPr>
  </w:style>
  <w:style w:type="paragraph" w:customStyle="1" w:styleId="28">
    <w:name w:val="纯文本1"/>
    <w:basedOn w:val="1"/>
    <w:qFormat/>
    <w:uiPriority w:val="99"/>
    <w:pPr>
      <w:adjustRightInd w:val="0"/>
      <w:textAlignment w:val="baseline"/>
    </w:pPr>
    <w:rPr>
      <w:rFonts w:ascii="宋体" w:hAnsi="Courier New"/>
      <w:szCs w:val="20"/>
    </w:rPr>
  </w:style>
  <w:style w:type="paragraph" w:customStyle="1" w:styleId="29">
    <w:name w:val="样式1"/>
    <w:basedOn w:val="16"/>
    <w:next w:val="1"/>
    <w:qFormat/>
    <w:uiPriority w:val="0"/>
    <w:pPr>
      <w:ind w:left="50" w:leftChars="50" w:right="50" w:rightChars="50"/>
      <w:jc w:val="left"/>
      <w:textAlignment w:val="baseline"/>
    </w:pPr>
    <w:rPr>
      <w:rFonts w:hAnsi="宋体"/>
      <w:sz w:val="28"/>
    </w:rPr>
  </w:style>
  <w:style w:type="paragraph" w:customStyle="1" w:styleId="30">
    <w:name w:val="Table Text"/>
    <w:basedOn w:val="1"/>
    <w:semiHidden/>
    <w:qFormat/>
    <w:uiPriority w:val="0"/>
    <w:rPr>
      <w:rFonts w:ascii="宋体" w:hAnsi="宋体" w:cs="宋体"/>
      <w:sz w:val="24"/>
      <w:lang w:eastAsia="en-US"/>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报告正文"/>
    <w:basedOn w:val="1"/>
    <w:qFormat/>
    <w:uiPriority w:val="0"/>
    <w:pPr>
      <w:adjustRightInd w:val="0"/>
      <w:snapToGrid w:val="0"/>
      <w:spacing w:line="460" w:lineRule="atLeast"/>
      <w:ind w:firstLine="200" w:firstLineChars="200"/>
    </w:pPr>
  </w:style>
  <w:style w:type="paragraph" w:customStyle="1" w:styleId="33">
    <w:name w:val="0 正文"/>
    <w:basedOn w:val="1"/>
    <w:qFormat/>
    <w:uiPriority w:val="0"/>
    <w:pPr>
      <w:spacing w:line="360" w:lineRule="auto"/>
      <w:ind w:firstLine="200" w:firstLineChars="200"/>
    </w:pPr>
  </w:style>
  <w:style w:type="paragraph" w:customStyle="1" w:styleId="34">
    <w:name w:val="文本"/>
    <w:basedOn w:val="1"/>
    <w:qFormat/>
    <w:uiPriority w:val="0"/>
    <w:pPr>
      <w:adjustRightInd w:val="0"/>
      <w:snapToGrid w:val="0"/>
      <w:spacing w:line="360" w:lineRule="auto"/>
      <w:ind w:firstLine="480" w:firstLineChars="200"/>
      <w:jc w:val="left"/>
    </w:pPr>
  </w:style>
  <w:style w:type="paragraph" w:customStyle="1" w:styleId="35">
    <w:name w:val="Table Paragraph"/>
    <w:basedOn w:val="1"/>
    <w:qFormat/>
    <w:uiPriority w:val="1"/>
  </w:style>
  <w:style w:type="paragraph" w:customStyle="1" w:styleId="36">
    <w:name w:val="表格"/>
    <w:basedOn w:val="1"/>
    <w:next w:val="1"/>
    <w:qFormat/>
    <w:uiPriority w:val="0"/>
    <w:pPr>
      <w:adjustRightInd w:val="0"/>
      <w:snapToGrid w:val="0"/>
      <w:spacing w:beforeLines="10" w:afterLines="10" w:line="259" w:lineRule="auto"/>
      <w:jc w:val="center"/>
    </w:pPr>
    <w:rPr>
      <w:rFonts w:hAnsi="Calibri"/>
      <w:sz w:val="20"/>
    </w:rPr>
  </w:style>
  <w:style w:type="paragraph" w:customStyle="1" w:styleId="37">
    <w:name w:val="正文缩进1"/>
    <w:basedOn w:val="1"/>
    <w:qFormat/>
    <w:uiPriority w:val="0"/>
    <w:pPr>
      <w:ind w:firstLine="420" w:firstLineChars="200"/>
    </w:pPr>
    <w:rPr>
      <w:sz w:val="20"/>
    </w:rPr>
  </w:style>
  <w:style w:type="paragraph" w:customStyle="1" w:styleId="38">
    <w:name w:val="0正文"/>
    <w:basedOn w:val="1"/>
    <w:qFormat/>
    <w:uiPriority w:val="0"/>
    <w:pPr>
      <w:spacing w:line="360" w:lineRule="auto"/>
      <w:ind w:firstLine="200" w:firstLineChars="200"/>
    </w:pPr>
  </w:style>
  <w:style w:type="paragraph" w:customStyle="1" w:styleId="39">
    <w:name w:val="样式 正文缩进s4标题4表正文正文非缩进图标题段1Body Text(ch)缩进ALT+Z特点四号正文不...3"/>
    <w:basedOn w:val="5"/>
    <w:qFormat/>
    <w:uiPriority w:val="0"/>
    <w:pPr>
      <w:ind w:firstLine="200"/>
    </w:pPr>
    <w:rPr>
      <w:rFonts w:ascii="宋体" w:hAnsi="Calibri" w:eastAsia="仿宋_GB2312" w:cs="宋体"/>
      <w:sz w:val="24"/>
    </w:rPr>
  </w:style>
  <w:style w:type="character" w:customStyle="1" w:styleId="40">
    <w:name w:val="样式 正文缩进s4标题4表正文正文非缩进图标题段1Body Text(ch)缩进ALT+Z特点四号正文不...2 Char"/>
    <w:link w:val="41"/>
    <w:qFormat/>
    <w:locked/>
    <w:uiPriority w:val="0"/>
    <w:rPr>
      <w:rFonts w:ascii="宋体" w:hAnsi="宋体" w:eastAsia="仿宋_GB2312"/>
      <w:kern w:val="0"/>
      <w:sz w:val="24"/>
      <w:szCs w:val="20"/>
    </w:rPr>
  </w:style>
  <w:style w:type="paragraph" w:customStyle="1" w:styleId="41">
    <w:name w:val="样式 正文缩进s4标题4表正文正文非缩进图标题段1Body Text(ch)缩进ALT+Z特点四号正文不...2"/>
    <w:basedOn w:val="5"/>
    <w:link w:val="40"/>
    <w:qFormat/>
    <w:uiPriority w:val="0"/>
    <w:pPr>
      <w:ind w:firstLine="200"/>
    </w:pPr>
    <w:rPr>
      <w:rFonts w:ascii="宋体" w:hAnsi="宋体" w:eastAsia="仿宋_GB2312"/>
      <w:kern w:val="0"/>
      <w:sz w:val="24"/>
      <w:szCs w:val="20"/>
    </w:rPr>
  </w:style>
  <w:style w:type="paragraph" w:customStyle="1" w:styleId="42">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szCs w:val="20"/>
    </w:rPr>
  </w:style>
  <w:style w:type="paragraph" w:customStyle="1" w:styleId="43">
    <w:name w:val="样式 正文缩进s4标题4表正文正文非缩进图标题段1Body Text(ch)缩进ALT+Z特点四号正文不...1"/>
    <w:basedOn w:val="5"/>
    <w:qFormat/>
    <w:uiPriority w:val="0"/>
    <w:pPr>
      <w:ind w:firstLine="840" w:firstLineChars="400"/>
    </w:pPr>
    <w:rPr>
      <w:rFonts w:ascii="宋体" w:hAnsi="宋体" w:eastAsia="仿宋_GB2312" w:cs="宋体"/>
      <w:sz w:val="24"/>
      <w:szCs w:val="21"/>
    </w:rPr>
  </w:style>
  <w:style w:type="paragraph" w:customStyle="1" w:styleId="44">
    <w:name w:val="Char"/>
    <w:basedOn w:val="1"/>
    <w:next w:val="1"/>
    <w:qFormat/>
    <w:uiPriority w:val="0"/>
    <w:rPr>
      <w:rFonts w:ascii="Arial" w:hAnsi="Arial" w:eastAsia="黑体"/>
      <w:b/>
      <w:sz w:val="28"/>
    </w:rPr>
  </w:style>
  <w:style w:type="character" w:customStyle="1" w:styleId="45">
    <w:name w:val="font11"/>
    <w:basedOn w:val="23"/>
    <w:qFormat/>
    <w:uiPriority w:val="0"/>
    <w:rPr>
      <w:rFonts w:hint="default" w:ascii="Times New Roman" w:hAnsi="Times New Roman" w:cs="Times New Roman"/>
      <w:color w:val="000000"/>
      <w:sz w:val="20"/>
      <w:szCs w:val="20"/>
      <w:u w:val="none"/>
    </w:rPr>
  </w:style>
  <w:style w:type="character" w:customStyle="1" w:styleId="46">
    <w:name w:val="批注框文本 Char"/>
    <w:basedOn w:val="23"/>
    <w:link w:val="12"/>
    <w:qFormat/>
    <w:uiPriority w:val="0"/>
    <w:rPr>
      <w:kern w:val="2"/>
      <w:sz w:val="18"/>
      <w:szCs w:val="18"/>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theme" Target="theme/theme1.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chart" Target="charts/chart6.xml"/><Relationship Id="rId86" Type="http://schemas.openxmlformats.org/officeDocument/2006/relationships/chart" Target="charts/chart5.xml"/><Relationship Id="rId85" Type="http://schemas.openxmlformats.org/officeDocument/2006/relationships/chart" Target="charts/chart4.xml"/><Relationship Id="rId84" Type="http://schemas.openxmlformats.org/officeDocument/2006/relationships/chart" Target="charts/chart3.xml"/><Relationship Id="rId83" Type="http://schemas.openxmlformats.org/officeDocument/2006/relationships/chart" Target="charts/chart2.xml"/><Relationship Id="rId82" Type="http://schemas.openxmlformats.org/officeDocument/2006/relationships/chart" Target="charts/chart1.xml"/><Relationship Id="rId81" Type="http://schemas.openxmlformats.org/officeDocument/2006/relationships/image" Target="media/image44.jpeg"/><Relationship Id="rId80" Type="http://schemas.openxmlformats.org/officeDocument/2006/relationships/image" Target="media/image43.jpeg"/><Relationship Id="rId8" Type="http://schemas.openxmlformats.org/officeDocument/2006/relationships/footer" Target="footer6.xml"/><Relationship Id="rId79" Type="http://schemas.openxmlformats.org/officeDocument/2006/relationships/image" Target="media/image42.jpeg"/><Relationship Id="rId78" Type="http://schemas.openxmlformats.org/officeDocument/2006/relationships/image" Target="media/image41.wmf"/><Relationship Id="rId77" Type="http://schemas.openxmlformats.org/officeDocument/2006/relationships/oleObject" Target="embeddings/oleObject28.bin"/><Relationship Id="rId76" Type="http://schemas.openxmlformats.org/officeDocument/2006/relationships/image" Target="media/image40.wmf"/><Relationship Id="rId75" Type="http://schemas.openxmlformats.org/officeDocument/2006/relationships/oleObject" Target="embeddings/oleObject27.bin"/><Relationship Id="rId74" Type="http://schemas.openxmlformats.org/officeDocument/2006/relationships/image" Target="media/image39.wmf"/><Relationship Id="rId73" Type="http://schemas.openxmlformats.org/officeDocument/2006/relationships/oleObject" Target="embeddings/oleObject26.bin"/><Relationship Id="rId72" Type="http://schemas.openxmlformats.org/officeDocument/2006/relationships/image" Target="media/image38.wmf"/><Relationship Id="rId71" Type="http://schemas.openxmlformats.org/officeDocument/2006/relationships/oleObject" Target="embeddings/oleObject25.bin"/><Relationship Id="rId70" Type="http://schemas.openxmlformats.org/officeDocument/2006/relationships/image" Target="media/image37.wmf"/><Relationship Id="rId7" Type="http://schemas.openxmlformats.org/officeDocument/2006/relationships/footer" Target="footer5.xml"/><Relationship Id="rId69" Type="http://schemas.openxmlformats.org/officeDocument/2006/relationships/oleObject" Target="embeddings/oleObject24.bin"/><Relationship Id="rId68" Type="http://schemas.openxmlformats.org/officeDocument/2006/relationships/image" Target="media/image36.wmf"/><Relationship Id="rId67" Type="http://schemas.openxmlformats.org/officeDocument/2006/relationships/oleObject" Target="embeddings/oleObject23.bin"/><Relationship Id="rId66" Type="http://schemas.openxmlformats.org/officeDocument/2006/relationships/image" Target="media/image35.wmf"/><Relationship Id="rId65" Type="http://schemas.openxmlformats.org/officeDocument/2006/relationships/oleObject" Target="embeddings/oleObject22.bin"/><Relationship Id="rId64" Type="http://schemas.openxmlformats.org/officeDocument/2006/relationships/image" Target="media/image34.wmf"/><Relationship Id="rId63" Type="http://schemas.openxmlformats.org/officeDocument/2006/relationships/oleObject" Target="embeddings/oleObject21.bin"/><Relationship Id="rId62" Type="http://schemas.openxmlformats.org/officeDocument/2006/relationships/image" Target="media/image33.wmf"/><Relationship Id="rId61" Type="http://schemas.openxmlformats.org/officeDocument/2006/relationships/oleObject" Target="embeddings/oleObject20.bin"/><Relationship Id="rId60" Type="http://schemas.openxmlformats.org/officeDocument/2006/relationships/image" Target="media/image32.wmf"/><Relationship Id="rId6" Type="http://schemas.openxmlformats.org/officeDocument/2006/relationships/footer" Target="footer4.xml"/><Relationship Id="rId59" Type="http://schemas.openxmlformats.org/officeDocument/2006/relationships/oleObject" Target="embeddings/oleObject19.bin"/><Relationship Id="rId58" Type="http://schemas.openxmlformats.org/officeDocument/2006/relationships/image" Target="media/image31.wmf"/><Relationship Id="rId57" Type="http://schemas.openxmlformats.org/officeDocument/2006/relationships/oleObject" Target="embeddings/oleObject18.bin"/><Relationship Id="rId56" Type="http://schemas.openxmlformats.org/officeDocument/2006/relationships/image" Target="media/image30.wmf"/><Relationship Id="rId55" Type="http://schemas.openxmlformats.org/officeDocument/2006/relationships/oleObject" Target="embeddings/oleObject17.bin"/><Relationship Id="rId54" Type="http://schemas.openxmlformats.org/officeDocument/2006/relationships/image" Target="media/image29.wmf"/><Relationship Id="rId53" Type="http://schemas.openxmlformats.org/officeDocument/2006/relationships/oleObject" Target="embeddings/oleObject16.bin"/><Relationship Id="rId52" Type="http://schemas.openxmlformats.org/officeDocument/2006/relationships/image" Target="media/image28.wmf"/><Relationship Id="rId51" Type="http://schemas.openxmlformats.org/officeDocument/2006/relationships/oleObject" Target="embeddings/oleObject15.bin"/><Relationship Id="rId50" Type="http://schemas.openxmlformats.org/officeDocument/2006/relationships/image" Target="media/image27.wmf"/><Relationship Id="rId5" Type="http://schemas.openxmlformats.org/officeDocument/2006/relationships/footer" Target="footer3.xml"/><Relationship Id="rId49" Type="http://schemas.openxmlformats.org/officeDocument/2006/relationships/oleObject" Target="embeddings/oleObject14.bin"/><Relationship Id="rId48" Type="http://schemas.openxmlformats.org/officeDocument/2006/relationships/image" Target="media/image26.wmf"/><Relationship Id="rId47" Type="http://schemas.openxmlformats.org/officeDocument/2006/relationships/oleObject" Target="embeddings/oleObject13.bin"/><Relationship Id="rId46" Type="http://schemas.openxmlformats.org/officeDocument/2006/relationships/image" Target="media/image25.wmf"/><Relationship Id="rId45" Type="http://schemas.openxmlformats.org/officeDocument/2006/relationships/oleObject" Target="embeddings/oleObject12.bin"/><Relationship Id="rId44" Type="http://schemas.openxmlformats.org/officeDocument/2006/relationships/image" Target="media/image24.wmf"/><Relationship Id="rId43" Type="http://schemas.openxmlformats.org/officeDocument/2006/relationships/oleObject" Target="embeddings/oleObject11.bin"/><Relationship Id="rId42" Type="http://schemas.openxmlformats.org/officeDocument/2006/relationships/image" Target="media/image23.wmf"/><Relationship Id="rId41" Type="http://schemas.openxmlformats.org/officeDocument/2006/relationships/oleObject" Target="embeddings/oleObject10.bin"/><Relationship Id="rId40" Type="http://schemas.openxmlformats.org/officeDocument/2006/relationships/image" Target="media/image22.jpeg"/><Relationship Id="rId4" Type="http://schemas.openxmlformats.org/officeDocument/2006/relationships/footer" Target="footer2.xml"/><Relationship Id="rId39" Type="http://schemas.openxmlformats.org/officeDocument/2006/relationships/image" Target="media/image21.jpeg"/><Relationship Id="rId38" Type="http://schemas.openxmlformats.org/officeDocument/2006/relationships/image" Target="media/image20.wmf"/><Relationship Id="rId37" Type="http://schemas.openxmlformats.org/officeDocument/2006/relationships/oleObject" Target="embeddings/oleObject9.bin"/><Relationship Id="rId36" Type="http://schemas.openxmlformats.org/officeDocument/2006/relationships/image" Target="media/image19.wmf"/><Relationship Id="rId35" Type="http://schemas.openxmlformats.org/officeDocument/2006/relationships/oleObject" Target="embeddings/oleObject8.bin"/><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wmf"/><Relationship Id="rId31" Type="http://schemas.openxmlformats.org/officeDocument/2006/relationships/oleObject" Target="embeddings/oleObject6.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5.jpeg"/><Relationship Id="rId27" Type="http://schemas.openxmlformats.org/officeDocument/2006/relationships/image" Target="media/image14.wmf"/><Relationship Id="rId26" Type="http://schemas.openxmlformats.org/officeDocument/2006/relationships/oleObject" Target="embeddings/oleObject4.bin"/><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2.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I:\&#24352;&#24037;&#39033;&#30446;\&#26032;&#24314;%20XLSX%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24352;&#24037;&#39033;&#30446;\&#26032;&#24314;%20XLSX%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6446;&#27743;\&#20854;&#20182;&#25253;&#21578;\&#24352;&#24037;&#22788;&#19968;&#20010;\&#24352;&#24037;&#39033;&#30446;\&#26032;&#24314;%20XLSX%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6446;&#27743;\&#20854;&#20182;&#25253;&#21578;\&#24352;&#24037;&#22788;&#19968;&#20010;\&#24352;&#24037;&#39033;&#30446;\&#26032;&#24314;%20XLSX%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24352;&#24037;&#39033;&#30446;\&#26032;&#24314;%20XLSX%20&#24037;&#20316;&#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26446;&#27743;\&#20854;&#20182;&#25253;&#21578;\&#24352;&#24037;&#22788;&#19968;&#20010;\&#24352;&#24037;&#39033;&#30446;\&#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单回路工频电场贡献值</a:t>
            </a:r>
            <a:endParaRPr lang="en-US" altLang="zh-CN"/>
          </a:p>
        </c:rich>
      </c:tx>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工作表.xlsx]Sheet3'!$B$4:$B$98</c:f>
              <c:numCache>
                <c:formatCode>General</c:formatCode>
                <c:ptCount val="95"/>
                <c:pt idx="0">
                  <c:v>-47</c:v>
                </c:pt>
                <c:pt idx="1">
                  <c:v>-46</c:v>
                </c:pt>
                <c:pt idx="2">
                  <c:v>-45</c:v>
                </c:pt>
                <c:pt idx="3">
                  <c:v>-44</c:v>
                </c:pt>
                <c:pt idx="4">
                  <c:v>-43</c:v>
                </c:pt>
                <c:pt idx="5">
                  <c:v>-42</c:v>
                </c:pt>
                <c:pt idx="6">
                  <c:v>-41</c:v>
                </c:pt>
                <c:pt idx="7">
                  <c:v>-40</c:v>
                </c:pt>
                <c:pt idx="8">
                  <c:v>-39</c:v>
                </c:pt>
                <c:pt idx="9">
                  <c:v>-38</c:v>
                </c:pt>
                <c:pt idx="10">
                  <c:v>-37</c:v>
                </c:pt>
                <c:pt idx="11">
                  <c:v>-36</c:v>
                </c:pt>
                <c:pt idx="12">
                  <c:v>-35</c:v>
                </c:pt>
                <c:pt idx="13">
                  <c:v>-34</c:v>
                </c:pt>
                <c:pt idx="14">
                  <c:v>-33</c:v>
                </c:pt>
                <c:pt idx="15">
                  <c:v>-32</c:v>
                </c:pt>
                <c:pt idx="16">
                  <c:v>-31</c:v>
                </c:pt>
                <c:pt idx="17">
                  <c:v>-30</c:v>
                </c:pt>
                <c:pt idx="18">
                  <c:v>-29</c:v>
                </c:pt>
                <c:pt idx="19">
                  <c:v>-28</c:v>
                </c:pt>
                <c:pt idx="20">
                  <c:v>-27</c:v>
                </c:pt>
                <c:pt idx="21">
                  <c:v>-26</c:v>
                </c:pt>
                <c:pt idx="22">
                  <c:v>-25</c:v>
                </c:pt>
                <c:pt idx="23">
                  <c:v>-24</c:v>
                </c:pt>
                <c:pt idx="24">
                  <c:v>-23</c:v>
                </c:pt>
                <c:pt idx="25">
                  <c:v>-22</c:v>
                </c:pt>
                <c:pt idx="26">
                  <c:v>-21</c:v>
                </c:pt>
                <c:pt idx="27">
                  <c:v>-20</c:v>
                </c:pt>
                <c:pt idx="28">
                  <c:v>-19</c:v>
                </c:pt>
                <c:pt idx="29">
                  <c:v>-18</c:v>
                </c:pt>
                <c:pt idx="30">
                  <c:v>-17</c:v>
                </c:pt>
                <c:pt idx="31">
                  <c:v>-16</c:v>
                </c:pt>
                <c:pt idx="32">
                  <c:v>-15</c:v>
                </c:pt>
                <c:pt idx="33">
                  <c:v>-14</c:v>
                </c:pt>
                <c:pt idx="34">
                  <c:v>-13</c:v>
                </c:pt>
                <c:pt idx="35">
                  <c:v>-12</c:v>
                </c:pt>
                <c:pt idx="36">
                  <c:v>-11</c:v>
                </c:pt>
                <c:pt idx="37">
                  <c:v>-10</c:v>
                </c:pt>
                <c:pt idx="38">
                  <c:v>-9</c:v>
                </c:pt>
                <c:pt idx="39">
                  <c:v>-8</c:v>
                </c:pt>
                <c:pt idx="40">
                  <c:v>-7</c:v>
                </c:pt>
                <c:pt idx="41">
                  <c:v>-6</c:v>
                </c:pt>
                <c:pt idx="42">
                  <c:v>-5</c:v>
                </c:pt>
                <c:pt idx="43">
                  <c:v>-4</c:v>
                </c:pt>
                <c:pt idx="44">
                  <c:v>-3</c:v>
                </c:pt>
                <c:pt idx="45">
                  <c:v>-2</c:v>
                </c:pt>
                <c:pt idx="46">
                  <c:v>-1</c:v>
                </c:pt>
                <c:pt idx="47">
                  <c:v>0</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8">
                  <c:v>21</c:v>
                </c:pt>
                <c:pt idx="69">
                  <c:v>22</c:v>
                </c:pt>
                <c:pt idx="70">
                  <c:v>23</c:v>
                </c:pt>
                <c:pt idx="71">
                  <c:v>24</c:v>
                </c:pt>
                <c:pt idx="72">
                  <c:v>25</c:v>
                </c:pt>
                <c:pt idx="73">
                  <c:v>26</c:v>
                </c:pt>
                <c:pt idx="74">
                  <c:v>27</c:v>
                </c:pt>
                <c:pt idx="75">
                  <c:v>28</c:v>
                </c:pt>
                <c:pt idx="76">
                  <c:v>29</c:v>
                </c:pt>
                <c:pt idx="77">
                  <c:v>30</c:v>
                </c:pt>
                <c:pt idx="78">
                  <c:v>31</c:v>
                </c:pt>
                <c:pt idx="79">
                  <c:v>32</c:v>
                </c:pt>
                <c:pt idx="80">
                  <c:v>33</c:v>
                </c:pt>
                <c:pt idx="81">
                  <c:v>34</c:v>
                </c:pt>
                <c:pt idx="82">
                  <c:v>35</c:v>
                </c:pt>
                <c:pt idx="83">
                  <c:v>36</c:v>
                </c:pt>
                <c:pt idx="84">
                  <c:v>37</c:v>
                </c:pt>
                <c:pt idx="85">
                  <c:v>38</c:v>
                </c:pt>
                <c:pt idx="86">
                  <c:v>39</c:v>
                </c:pt>
                <c:pt idx="87">
                  <c:v>40</c:v>
                </c:pt>
                <c:pt idx="88">
                  <c:v>41</c:v>
                </c:pt>
                <c:pt idx="89">
                  <c:v>42</c:v>
                </c:pt>
                <c:pt idx="90">
                  <c:v>43</c:v>
                </c:pt>
                <c:pt idx="91">
                  <c:v>44</c:v>
                </c:pt>
                <c:pt idx="92">
                  <c:v>45</c:v>
                </c:pt>
                <c:pt idx="93">
                  <c:v>46</c:v>
                </c:pt>
                <c:pt idx="94">
                  <c:v>47</c:v>
                </c:pt>
              </c:numCache>
            </c:numRef>
          </c:xVal>
          <c:yVal>
            <c:numRef>
              <c:f>'[新建 XLSX 工作表.xlsx]Sheet3'!$C$4:$C$98</c:f>
              <c:numCache>
                <c:formatCode>General</c:formatCode>
                <c:ptCount val="95"/>
                <c:pt idx="0">
                  <c:v>0.0930000000000002</c:v>
                </c:pt>
                <c:pt idx="1">
                  <c:v>0.099</c:v>
                </c:pt>
                <c:pt idx="2">
                  <c:v>0.106</c:v>
                </c:pt>
                <c:pt idx="3">
                  <c:v>0.113</c:v>
                </c:pt>
                <c:pt idx="4">
                  <c:v>0.121</c:v>
                </c:pt>
                <c:pt idx="5">
                  <c:v>0.129</c:v>
                </c:pt>
                <c:pt idx="6">
                  <c:v>0.139</c:v>
                </c:pt>
                <c:pt idx="7">
                  <c:v>0.149</c:v>
                </c:pt>
                <c:pt idx="8">
                  <c:v>0.161</c:v>
                </c:pt>
                <c:pt idx="9">
                  <c:v>0.173</c:v>
                </c:pt>
                <c:pt idx="10">
                  <c:v>0.188</c:v>
                </c:pt>
                <c:pt idx="11">
                  <c:v>0.204</c:v>
                </c:pt>
                <c:pt idx="12">
                  <c:v>0.222</c:v>
                </c:pt>
                <c:pt idx="13">
                  <c:v>0.242</c:v>
                </c:pt>
                <c:pt idx="14">
                  <c:v>0.264</c:v>
                </c:pt>
                <c:pt idx="15">
                  <c:v>0.29</c:v>
                </c:pt>
                <c:pt idx="16">
                  <c:v>0.319000000000001</c:v>
                </c:pt>
                <c:pt idx="17">
                  <c:v>0.352</c:v>
                </c:pt>
                <c:pt idx="18">
                  <c:v>0.391000000000001</c:v>
                </c:pt>
                <c:pt idx="19">
                  <c:v>0.434</c:v>
                </c:pt>
                <c:pt idx="20">
                  <c:v>0.485</c:v>
                </c:pt>
                <c:pt idx="21">
                  <c:v>0.544</c:v>
                </c:pt>
                <c:pt idx="22">
                  <c:v>0.612000000000001</c:v>
                </c:pt>
                <c:pt idx="23">
                  <c:v>0.692000000000001</c:v>
                </c:pt>
                <c:pt idx="24">
                  <c:v>0.787</c:v>
                </c:pt>
                <c:pt idx="25">
                  <c:v>0.899</c:v>
                </c:pt>
                <c:pt idx="26">
                  <c:v>1.032</c:v>
                </c:pt>
                <c:pt idx="27">
                  <c:v>1.192</c:v>
                </c:pt>
                <c:pt idx="28">
                  <c:v>1.385</c:v>
                </c:pt>
                <c:pt idx="29">
                  <c:v>1.618</c:v>
                </c:pt>
                <c:pt idx="30">
                  <c:v>1.901</c:v>
                </c:pt>
                <c:pt idx="31">
                  <c:v>2.245</c:v>
                </c:pt>
                <c:pt idx="32">
                  <c:v>2.665</c:v>
                </c:pt>
                <c:pt idx="33">
                  <c:v>3.175</c:v>
                </c:pt>
                <c:pt idx="34">
                  <c:v>3.788</c:v>
                </c:pt>
                <c:pt idx="35">
                  <c:v>4.507</c:v>
                </c:pt>
                <c:pt idx="36">
                  <c:v>5.31799999999999</c:v>
                </c:pt>
                <c:pt idx="37">
                  <c:v>6.16799999999999</c:v>
                </c:pt>
                <c:pt idx="38">
                  <c:v>6.943</c:v>
                </c:pt>
                <c:pt idx="39">
                  <c:v>7.47600000000001</c:v>
                </c:pt>
                <c:pt idx="40">
                  <c:v>7.592</c:v>
                </c:pt>
                <c:pt idx="41">
                  <c:v>7.219</c:v>
                </c:pt>
                <c:pt idx="42">
                  <c:v>6.428</c:v>
                </c:pt>
                <c:pt idx="43">
                  <c:v>5.39299999999999</c:v>
                </c:pt>
                <c:pt idx="44">
                  <c:v>4.282</c:v>
                </c:pt>
                <c:pt idx="45">
                  <c:v>3.225</c:v>
                </c:pt>
                <c:pt idx="46">
                  <c:v>2.329</c:v>
                </c:pt>
                <c:pt idx="47">
                  <c:v>1.784</c:v>
                </c:pt>
                <c:pt idx="48">
                  <c:v>1.868</c:v>
                </c:pt>
                <c:pt idx="49">
                  <c:v>2.524</c:v>
                </c:pt>
                <c:pt idx="50">
                  <c:v>3.463</c:v>
                </c:pt>
                <c:pt idx="51">
                  <c:v>4.505</c:v>
                </c:pt>
                <c:pt idx="52">
                  <c:v>5.503</c:v>
                </c:pt>
                <c:pt idx="53">
                  <c:v>6.278</c:v>
                </c:pt>
                <c:pt idx="54">
                  <c:v>6.65099999999999</c:v>
                </c:pt>
                <c:pt idx="55">
                  <c:v>6.545</c:v>
                </c:pt>
                <c:pt idx="56">
                  <c:v>6.033</c:v>
                </c:pt>
                <c:pt idx="57">
                  <c:v>5.293</c:v>
                </c:pt>
                <c:pt idx="58">
                  <c:v>4.494</c:v>
                </c:pt>
                <c:pt idx="59">
                  <c:v>3.748</c:v>
                </c:pt>
                <c:pt idx="60">
                  <c:v>3.104</c:v>
                </c:pt>
                <c:pt idx="61">
                  <c:v>2.573</c:v>
                </c:pt>
                <c:pt idx="62">
                  <c:v>2.145</c:v>
                </c:pt>
                <c:pt idx="63">
                  <c:v>1.804</c:v>
                </c:pt>
                <c:pt idx="64">
                  <c:v>1.531</c:v>
                </c:pt>
                <c:pt idx="65">
                  <c:v>1.313</c:v>
                </c:pt>
                <c:pt idx="66">
                  <c:v>1.136</c:v>
                </c:pt>
                <c:pt idx="67">
                  <c:v>0.992</c:v>
                </c:pt>
                <c:pt idx="68">
                  <c:v>0.873000000000001</c:v>
                </c:pt>
                <c:pt idx="69">
                  <c:v>0.774000000000001</c:v>
                </c:pt>
                <c:pt idx="70">
                  <c:v>0.690000000000001</c:v>
                </c:pt>
                <c:pt idx="71">
                  <c:v>0.619000000000001</c:v>
                </c:pt>
                <c:pt idx="72">
                  <c:v>0.559</c:v>
                </c:pt>
                <c:pt idx="73">
                  <c:v>0.506</c:v>
                </c:pt>
                <c:pt idx="74">
                  <c:v>0.46</c:v>
                </c:pt>
                <c:pt idx="75">
                  <c:v>0.42</c:v>
                </c:pt>
                <c:pt idx="76">
                  <c:v>0.385000000000001</c:v>
                </c:pt>
                <c:pt idx="77">
                  <c:v>0.354</c:v>
                </c:pt>
                <c:pt idx="78">
                  <c:v>0.326000000000001</c:v>
                </c:pt>
                <c:pt idx="79">
                  <c:v>0.301</c:v>
                </c:pt>
                <c:pt idx="80">
                  <c:v>0.279</c:v>
                </c:pt>
                <c:pt idx="81">
                  <c:v>0.259</c:v>
                </c:pt>
                <c:pt idx="82">
                  <c:v>0.241</c:v>
                </c:pt>
                <c:pt idx="83">
                  <c:v>0.225</c:v>
                </c:pt>
                <c:pt idx="84">
                  <c:v>0.21</c:v>
                </c:pt>
                <c:pt idx="85">
                  <c:v>0.196</c:v>
                </c:pt>
                <c:pt idx="86">
                  <c:v>0.184</c:v>
                </c:pt>
                <c:pt idx="87">
                  <c:v>0.173</c:v>
                </c:pt>
                <c:pt idx="88">
                  <c:v>0.163</c:v>
                </c:pt>
                <c:pt idx="89">
                  <c:v>0.153</c:v>
                </c:pt>
                <c:pt idx="90">
                  <c:v>0.145</c:v>
                </c:pt>
                <c:pt idx="91">
                  <c:v>0.137</c:v>
                </c:pt>
                <c:pt idx="92">
                  <c:v>0.129</c:v>
                </c:pt>
                <c:pt idx="93">
                  <c:v>0.122</c:v>
                </c:pt>
                <c:pt idx="94">
                  <c:v>0.116</c:v>
                </c:pt>
              </c:numCache>
            </c:numRef>
          </c:yVal>
          <c:smooth val="1"/>
        </c:ser>
        <c:dLbls>
          <c:showLegendKey val="0"/>
          <c:showVal val="0"/>
          <c:showCatName val="0"/>
          <c:showSerName val="0"/>
          <c:showPercent val="0"/>
          <c:showBubbleSize val="0"/>
        </c:dLbls>
        <c:axId val="331239808"/>
        <c:axId val="331241728"/>
      </c:scatterChart>
      <c:valAx>
        <c:axId val="331239808"/>
        <c:scaling>
          <c:orientation val="minMax"/>
          <c:max val="50"/>
          <c:min val="-50"/>
        </c:scaling>
        <c:delete val="0"/>
        <c:axPos val="b"/>
        <c:majorGridlines>
          <c:spPr>
            <a:ln w="9525" cap="flat" cmpd="sng" algn="ctr">
              <a:solidFill>
                <a:schemeClr val="lt1">
                  <a:lumMod val="90200"/>
                </a:schemeClr>
              </a:solidFill>
              <a:prstDash val="solid"/>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距预测中心距离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241728"/>
        <c:crosses val="autoZero"/>
        <c:crossBetween val="midCat"/>
      </c:valAx>
      <c:valAx>
        <c:axId val="331241728"/>
        <c:scaling>
          <c:orientation val="minMax"/>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kV/m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239808"/>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0d3ed7ce-80a9-4800-be05-c71ed355354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工频磁感应强度贡献值</a:t>
            </a:r>
            <a:endParaRPr lang="en-US" altLang="zh-CN"/>
          </a:p>
        </c:rich>
      </c:tx>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工作表.xlsx]Sheet3'!$J$2:$J$96</c:f>
              <c:numCache>
                <c:formatCode>General</c:formatCode>
                <c:ptCount val="95"/>
                <c:pt idx="0">
                  <c:v>-47</c:v>
                </c:pt>
                <c:pt idx="1">
                  <c:v>-46</c:v>
                </c:pt>
                <c:pt idx="2">
                  <c:v>-45</c:v>
                </c:pt>
                <c:pt idx="3">
                  <c:v>-44</c:v>
                </c:pt>
                <c:pt idx="4">
                  <c:v>-43</c:v>
                </c:pt>
                <c:pt idx="5">
                  <c:v>-42</c:v>
                </c:pt>
                <c:pt idx="6">
                  <c:v>-41</c:v>
                </c:pt>
                <c:pt idx="7">
                  <c:v>-40</c:v>
                </c:pt>
                <c:pt idx="8">
                  <c:v>-39</c:v>
                </c:pt>
                <c:pt idx="9">
                  <c:v>-38</c:v>
                </c:pt>
                <c:pt idx="10">
                  <c:v>-37</c:v>
                </c:pt>
                <c:pt idx="11">
                  <c:v>-36</c:v>
                </c:pt>
                <c:pt idx="12">
                  <c:v>-35</c:v>
                </c:pt>
                <c:pt idx="13">
                  <c:v>-34</c:v>
                </c:pt>
                <c:pt idx="14">
                  <c:v>-33</c:v>
                </c:pt>
                <c:pt idx="15">
                  <c:v>-32</c:v>
                </c:pt>
                <c:pt idx="16">
                  <c:v>-31</c:v>
                </c:pt>
                <c:pt idx="17">
                  <c:v>-30</c:v>
                </c:pt>
                <c:pt idx="18">
                  <c:v>-29</c:v>
                </c:pt>
                <c:pt idx="19">
                  <c:v>-28</c:v>
                </c:pt>
                <c:pt idx="20">
                  <c:v>-27</c:v>
                </c:pt>
                <c:pt idx="21">
                  <c:v>-26</c:v>
                </c:pt>
                <c:pt idx="22">
                  <c:v>-25</c:v>
                </c:pt>
                <c:pt idx="23">
                  <c:v>-24</c:v>
                </c:pt>
                <c:pt idx="24">
                  <c:v>-23</c:v>
                </c:pt>
                <c:pt idx="25">
                  <c:v>-22</c:v>
                </c:pt>
                <c:pt idx="26">
                  <c:v>-21</c:v>
                </c:pt>
                <c:pt idx="27">
                  <c:v>-20</c:v>
                </c:pt>
                <c:pt idx="28">
                  <c:v>-19</c:v>
                </c:pt>
                <c:pt idx="29">
                  <c:v>-18</c:v>
                </c:pt>
                <c:pt idx="30">
                  <c:v>-17</c:v>
                </c:pt>
                <c:pt idx="31">
                  <c:v>-16</c:v>
                </c:pt>
                <c:pt idx="32">
                  <c:v>-15</c:v>
                </c:pt>
                <c:pt idx="33">
                  <c:v>-14</c:v>
                </c:pt>
                <c:pt idx="34">
                  <c:v>-13</c:v>
                </c:pt>
                <c:pt idx="35">
                  <c:v>-12</c:v>
                </c:pt>
                <c:pt idx="36">
                  <c:v>-11</c:v>
                </c:pt>
                <c:pt idx="37">
                  <c:v>-10</c:v>
                </c:pt>
                <c:pt idx="38">
                  <c:v>-9</c:v>
                </c:pt>
                <c:pt idx="39">
                  <c:v>-8</c:v>
                </c:pt>
                <c:pt idx="40">
                  <c:v>-7</c:v>
                </c:pt>
                <c:pt idx="41">
                  <c:v>-6</c:v>
                </c:pt>
                <c:pt idx="42">
                  <c:v>-5</c:v>
                </c:pt>
                <c:pt idx="43">
                  <c:v>-4</c:v>
                </c:pt>
                <c:pt idx="44">
                  <c:v>-3</c:v>
                </c:pt>
                <c:pt idx="45">
                  <c:v>-2</c:v>
                </c:pt>
                <c:pt idx="46">
                  <c:v>-1</c:v>
                </c:pt>
                <c:pt idx="47">
                  <c:v>0</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8">
                  <c:v>21</c:v>
                </c:pt>
                <c:pt idx="69">
                  <c:v>22</c:v>
                </c:pt>
                <c:pt idx="70">
                  <c:v>23</c:v>
                </c:pt>
                <c:pt idx="71">
                  <c:v>24</c:v>
                </c:pt>
                <c:pt idx="72">
                  <c:v>25</c:v>
                </c:pt>
                <c:pt idx="73">
                  <c:v>26</c:v>
                </c:pt>
                <c:pt idx="74">
                  <c:v>27</c:v>
                </c:pt>
                <c:pt idx="75">
                  <c:v>28</c:v>
                </c:pt>
                <c:pt idx="76">
                  <c:v>29</c:v>
                </c:pt>
                <c:pt idx="77">
                  <c:v>30</c:v>
                </c:pt>
                <c:pt idx="78">
                  <c:v>31</c:v>
                </c:pt>
                <c:pt idx="79">
                  <c:v>32</c:v>
                </c:pt>
                <c:pt idx="80">
                  <c:v>33</c:v>
                </c:pt>
                <c:pt idx="81">
                  <c:v>34</c:v>
                </c:pt>
                <c:pt idx="82">
                  <c:v>35</c:v>
                </c:pt>
                <c:pt idx="83">
                  <c:v>36</c:v>
                </c:pt>
                <c:pt idx="84">
                  <c:v>37</c:v>
                </c:pt>
                <c:pt idx="85">
                  <c:v>38</c:v>
                </c:pt>
                <c:pt idx="86">
                  <c:v>39</c:v>
                </c:pt>
                <c:pt idx="87">
                  <c:v>40</c:v>
                </c:pt>
                <c:pt idx="88">
                  <c:v>41</c:v>
                </c:pt>
                <c:pt idx="89">
                  <c:v>42</c:v>
                </c:pt>
                <c:pt idx="90">
                  <c:v>43</c:v>
                </c:pt>
                <c:pt idx="91">
                  <c:v>44</c:v>
                </c:pt>
                <c:pt idx="92">
                  <c:v>45</c:v>
                </c:pt>
                <c:pt idx="93">
                  <c:v>46</c:v>
                </c:pt>
                <c:pt idx="94">
                  <c:v>47</c:v>
                </c:pt>
              </c:numCache>
            </c:numRef>
          </c:xVal>
          <c:yVal>
            <c:numRef>
              <c:f>'[新建 XLSX 工作表.xlsx]Sheet3'!$K$2:$K$96</c:f>
              <c:numCache>
                <c:formatCode>General</c:formatCode>
                <c:ptCount val="95"/>
                <c:pt idx="0">
                  <c:v>1.63</c:v>
                </c:pt>
                <c:pt idx="1">
                  <c:v>1.7</c:v>
                </c:pt>
                <c:pt idx="2">
                  <c:v>1.77</c:v>
                </c:pt>
                <c:pt idx="3">
                  <c:v>1.86</c:v>
                </c:pt>
                <c:pt idx="4">
                  <c:v>1.94</c:v>
                </c:pt>
                <c:pt idx="5">
                  <c:v>2.04</c:v>
                </c:pt>
                <c:pt idx="6">
                  <c:v>2.14</c:v>
                </c:pt>
                <c:pt idx="7">
                  <c:v>2.25</c:v>
                </c:pt>
                <c:pt idx="8">
                  <c:v>2.37</c:v>
                </c:pt>
                <c:pt idx="9">
                  <c:v>2.49</c:v>
                </c:pt>
                <c:pt idx="10">
                  <c:v>2.63</c:v>
                </c:pt>
                <c:pt idx="11">
                  <c:v>2.78</c:v>
                </c:pt>
                <c:pt idx="12">
                  <c:v>2.94</c:v>
                </c:pt>
                <c:pt idx="13">
                  <c:v>3.12</c:v>
                </c:pt>
                <c:pt idx="14">
                  <c:v>3.31</c:v>
                </c:pt>
                <c:pt idx="15">
                  <c:v>3.53</c:v>
                </c:pt>
                <c:pt idx="16">
                  <c:v>3.76</c:v>
                </c:pt>
                <c:pt idx="17">
                  <c:v>4.02</c:v>
                </c:pt>
                <c:pt idx="18">
                  <c:v>4.3</c:v>
                </c:pt>
                <c:pt idx="19">
                  <c:v>4.62</c:v>
                </c:pt>
                <c:pt idx="20">
                  <c:v>4.97</c:v>
                </c:pt>
                <c:pt idx="21">
                  <c:v>5.37</c:v>
                </c:pt>
                <c:pt idx="22">
                  <c:v>5.81</c:v>
                </c:pt>
                <c:pt idx="23">
                  <c:v>6.32</c:v>
                </c:pt>
                <c:pt idx="24">
                  <c:v>6.89</c:v>
                </c:pt>
                <c:pt idx="25">
                  <c:v>7.54</c:v>
                </c:pt>
                <c:pt idx="26">
                  <c:v>8.28</c:v>
                </c:pt>
                <c:pt idx="27">
                  <c:v>9.15</c:v>
                </c:pt>
                <c:pt idx="28">
                  <c:v>10.15</c:v>
                </c:pt>
                <c:pt idx="29">
                  <c:v>11.32</c:v>
                </c:pt>
                <c:pt idx="30">
                  <c:v>12.7</c:v>
                </c:pt>
                <c:pt idx="31">
                  <c:v>14.33</c:v>
                </c:pt>
                <c:pt idx="32">
                  <c:v>16.28</c:v>
                </c:pt>
                <c:pt idx="33">
                  <c:v>18.61</c:v>
                </c:pt>
                <c:pt idx="34">
                  <c:v>21.41</c:v>
                </c:pt>
                <c:pt idx="35">
                  <c:v>24.73</c:v>
                </c:pt>
                <c:pt idx="36">
                  <c:v>28.6</c:v>
                </c:pt>
                <c:pt idx="37">
                  <c:v>32.96</c:v>
                </c:pt>
                <c:pt idx="38">
                  <c:v>37.53</c:v>
                </c:pt>
                <c:pt idx="39">
                  <c:v>41.77</c:v>
                </c:pt>
                <c:pt idx="40">
                  <c:v>45.03</c:v>
                </c:pt>
                <c:pt idx="41">
                  <c:v>46.84</c:v>
                </c:pt>
                <c:pt idx="42">
                  <c:v>47.2</c:v>
                </c:pt>
                <c:pt idx="43">
                  <c:v>46.55</c:v>
                </c:pt>
                <c:pt idx="44">
                  <c:v>45.44</c:v>
                </c:pt>
                <c:pt idx="45">
                  <c:v>44.27</c:v>
                </c:pt>
                <c:pt idx="46">
                  <c:v>43.3</c:v>
                </c:pt>
                <c:pt idx="47">
                  <c:v>42.67</c:v>
                </c:pt>
                <c:pt idx="48">
                  <c:v>42.42</c:v>
                </c:pt>
                <c:pt idx="49">
                  <c:v>42.53</c:v>
                </c:pt>
                <c:pt idx="50">
                  <c:v>42.92</c:v>
                </c:pt>
                <c:pt idx="51">
                  <c:v>43.38</c:v>
                </c:pt>
                <c:pt idx="52">
                  <c:v>43.58</c:v>
                </c:pt>
                <c:pt idx="53">
                  <c:v>43.03</c:v>
                </c:pt>
                <c:pt idx="54">
                  <c:v>41.35</c:v>
                </c:pt>
                <c:pt idx="55">
                  <c:v>38.47</c:v>
                </c:pt>
                <c:pt idx="56">
                  <c:v>34.75</c:v>
                </c:pt>
                <c:pt idx="57">
                  <c:v>30.74</c:v>
                </c:pt>
                <c:pt idx="58">
                  <c:v>26.89</c:v>
                </c:pt>
                <c:pt idx="59">
                  <c:v>23.43</c:v>
                </c:pt>
                <c:pt idx="60">
                  <c:v>20.43</c:v>
                </c:pt>
                <c:pt idx="61">
                  <c:v>17.89</c:v>
                </c:pt>
                <c:pt idx="62">
                  <c:v>15.75</c:v>
                </c:pt>
                <c:pt idx="63">
                  <c:v>13.94</c:v>
                </c:pt>
                <c:pt idx="64">
                  <c:v>12.41</c:v>
                </c:pt>
                <c:pt idx="65">
                  <c:v>11.1</c:v>
                </c:pt>
                <c:pt idx="66">
                  <c:v>9.99</c:v>
                </c:pt>
                <c:pt idx="67">
                  <c:v>9.03</c:v>
                </c:pt>
                <c:pt idx="68">
                  <c:v>8.2</c:v>
                </c:pt>
                <c:pt idx="69">
                  <c:v>7.48</c:v>
                </c:pt>
                <c:pt idx="70">
                  <c:v>6.84</c:v>
                </c:pt>
                <c:pt idx="71">
                  <c:v>6.29</c:v>
                </c:pt>
                <c:pt idx="72">
                  <c:v>5.8</c:v>
                </c:pt>
                <c:pt idx="73">
                  <c:v>5.36</c:v>
                </c:pt>
                <c:pt idx="74">
                  <c:v>4.97</c:v>
                </c:pt>
                <c:pt idx="75">
                  <c:v>4.62</c:v>
                </c:pt>
                <c:pt idx="76">
                  <c:v>4.31</c:v>
                </c:pt>
                <c:pt idx="77">
                  <c:v>4.02</c:v>
                </c:pt>
                <c:pt idx="78">
                  <c:v>3.77</c:v>
                </c:pt>
                <c:pt idx="79">
                  <c:v>3.53</c:v>
                </c:pt>
                <c:pt idx="80">
                  <c:v>3.32</c:v>
                </c:pt>
                <c:pt idx="81">
                  <c:v>3.13</c:v>
                </c:pt>
                <c:pt idx="82">
                  <c:v>2.95</c:v>
                </c:pt>
                <c:pt idx="83">
                  <c:v>2.79</c:v>
                </c:pt>
                <c:pt idx="84">
                  <c:v>2.64</c:v>
                </c:pt>
                <c:pt idx="85">
                  <c:v>2.5</c:v>
                </c:pt>
                <c:pt idx="86">
                  <c:v>2.38</c:v>
                </c:pt>
                <c:pt idx="87">
                  <c:v>2.26</c:v>
                </c:pt>
                <c:pt idx="88">
                  <c:v>2.15</c:v>
                </c:pt>
                <c:pt idx="89">
                  <c:v>2.05</c:v>
                </c:pt>
                <c:pt idx="90">
                  <c:v>1.95</c:v>
                </c:pt>
                <c:pt idx="91">
                  <c:v>1.86</c:v>
                </c:pt>
                <c:pt idx="92">
                  <c:v>1.78</c:v>
                </c:pt>
                <c:pt idx="93">
                  <c:v>1.71</c:v>
                </c:pt>
                <c:pt idx="94">
                  <c:v>1.63</c:v>
                </c:pt>
              </c:numCache>
            </c:numRef>
          </c:yVal>
          <c:smooth val="1"/>
        </c:ser>
        <c:dLbls>
          <c:showLegendKey val="0"/>
          <c:showVal val="0"/>
          <c:showCatName val="0"/>
          <c:showSerName val="0"/>
          <c:showPercent val="0"/>
          <c:showBubbleSize val="0"/>
        </c:dLbls>
        <c:axId val="230429056"/>
        <c:axId val="230430976"/>
      </c:scatterChart>
      <c:valAx>
        <c:axId val="230429056"/>
        <c:scaling>
          <c:orientation val="minMax"/>
          <c:max val="50"/>
          <c:min val="-50"/>
        </c:scaling>
        <c:delete val="0"/>
        <c:axPos val="b"/>
        <c:majorGridlines>
          <c:spPr>
            <a:ln w="9525" cap="flat" cmpd="sng" algn="ctr">
              <a:solidFill>
                <a:schemeClr val="lt1">
                  <a:lumMod val="90200"/>
                </a:schemeClr>
              </a:solidFill>
              <a:prstDash val="solid"/>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距预测中心距离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30976"/>
        <c:crosses val="autoZero"/>
        <c:crossBetween val="midCat"/>
      </c:valAx>
      <c:valAx>
        <c:axId val="230430976"/>
        <c:scaling>
          <c:orientation val="minMax"/>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uT</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29056"/>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f3be746a-50c2-4618-a54b-2a3d21f28fa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双回路工频电场贡献值</a:t>
            </a:r>
          </a:p>
        </c:rich>
      </c:tx>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工作表.xlsx]Sheet2'!$H$3:$H$99</c:f>
              <c:numCache>
                <c:formatCode>General</c:formatCode>
                <c:ptCount val="97"/>
                <c:pt idx="0">
                  <c:v>-48</c:v>
                </c:pt>
                <c:pt idx="1">
                  <c:v>-47</c:v>
                </c:pt>
                <c:pt idx="2">
                  <c:v>-46</c:v>
                </c:pt>
                <c:pt idx="3">
                  <c:v>-45</c:v>
                </c:pt>
                <c:pt idx="4">
                  <c:v>-44</c:v>
                </c:pt>
                <c:pt idx="5">
                  <c:v>-43</c:v>
                </c:pt>
                <c:pt idx="6">
                  <c:v>-42</c:v>
                </c:pt>
                <c:pt idx="7">
                  <c:v>-41</c:v>
                </c:pt>
                <c:pt idx="8">
                  <c:v>-40</c:v>
                </c:pt>
                <c:pt idx="9">
                  <c:v>-39</c:v>
                </c:pt>
                <c:pt idx="10">
                  <c:v>-38</c:v>
                </c:pt>
                <c:pt idx="11">
                  <c:v>-37</c:v>
                </c:pt>
                <c:pt idx="12">
                  <c:v>-36</c:v>
                </c:pt>
                <c:pt idx="13">
                  <c:v>-35</c:v>
                </c:pt>
                <c:pt idx="14">
                  <c:v>-34</c:v>
                </c:pt>
                <c:pt idx="15">
                  <c:v>-33</c:v>
                </c:pt>
                <c:pt idx="16">
                  <c:v>-32</c:v>
                </c:pt>
                <c:pt idx="17">
                  <c:v>-31</c:v>
                </c:pt>
                <c:pt idx="18">
                  <c:v>-30</c:v>
                </c:pt>
                <c:pt idx="19">
                  <c:v>-29</c:v>
                </c:pt>
                <c:pt idx="20">
                  <c:v>-28</c:v>
                </c:pt>
                <c:pt idx="21">
                  <c:v>-27</c:v>
                </c:pt>
                <c:pt idx="22">
                  <c:v>-26</c:v>
                </c:pt>
                <c:pt idx="23">
                  <c:v>-25</c:v>
                </c:pt>
                <c:pt idx="24">
                  <c:v>-24</c:v>
                </c:pt>
                <c:pt idx="25">
                  <c:v>-23</c:v>
                </c:pt>
                <c:pt idx="26">
                  <c:v>-22</c:v>
                </c:pt>
                <c:pt idx="27">
                  <c:v>-21</c:v>
                </c:pt>
                <c:pt idx="28">
                  <c:v>-20</c:v>
                </c:pt>
                <c:pt idx="29">
                  <c:v>-19</c:v>
                </c:pt>
                <c:pt idx="30">
                  <c:v>-18</c:v>
                </c:pt>
                <c:pt idx="31">
                  <c:v>-17</c:v>
                </c:pt>
                <c:pt idx="32">
                  <c:v>-16</c:v>
                </c:pt>
                <c:pt idx="33">
                  <c:v>-15</c:v>
                </c:pt>
                <c:pt idx="34">
                  <c:v>-14</c:v>
                </c:pt>
                <c:pt idx="35">
                  <c:v>-13</c:v>
                </c:pt>
                <c:pt idx="36">
                  <c:v>-12</c:v>
                </c:pt>
                <c:pt idx="37">
                  <c:v>-11</c:v>
                </c:pt>
                <c:pt idx="38">
                  <c:v>-10</c:v>
                </c:pt>
                <c:pt idx="39">
                  <c:v>-9</c:v>
                </c:pt>
                <c:pt idx="40">
                  <c:v>-8</c:v>
                </c:pt>
                <c:pt idx="41">
                  <c:v>-7</c:v>
                </c:pt>
                <c:pt idx="42">
                  <c:v>-6</c:v>
                </c:pt>
                <c:pt idx="43">
                  <c:v>-5</c:v>
                </c:pt>
                <c:pt idx="44">
                  <c:v>-4</c:v>
                </c:pt>
                <c:pt idx="45">
                  <c:v>-3</c:v>
                </c:pt>
                <c:pt idx="46">
                  <c:v>-2</c:v>
                </c:pt>
                <c:pt idx="47">
                  <c:v>-1</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24</c:v>
                </c:pt>
                <c:pt idx="73">
                  <c:v>25</c:v>
                </c:pt>
                <c:pt idx="74">
                  <c:v>26</c:v>
                </c:pt>
                <c:pt idx="75">
                  <c:v>27</c:v>
                </c:pt>
                <c:pt idx="76">
                  <c:v>28</c:v>
                </c:pt>
                <c:pt idx="77">
                  <c:v>29</c:v>
                </c:pt>
                <c:pt idx="78">
                  <c:v>30</c:v>
                </c:pt>
                <c:pt idx="79">
                  <c:v>31</c:v>
                </c:pt>
                <c:pt idx="80">
                  <c:v>32</c:v>
                </c:pt>
                <c:pt idx="81">
                  <c:v>33</c:v>
                </c:pt>
                <c:pt idx="82">
                  <c:v>34</c:v>
                </c:pt>
                <c:pt idx="83">
                  <c:v>35</c:v>
                </c:pt>
                <c:pt idx="84">
                  <c:v>36</c:v>
                </c:pt>
                <c:pt idx="85">
                  <c:v>37</c:v>
                </c:pt>
                <c:pt idx="86">
                  <c:v>38</c:v>
                </c:pt>
                <c:pt idx="87">
                  <c:v>39</c:v>
                </c:pt>
                <c:pt idx="88">
                  <c:v>40</c:v>
                </c:pt>
                <c:pt idx="89">
                  <c:v>41</c:v>
                </c:pt>
                <c:pt idx="90">
                  <c:v>42</c:v>
                </c:pt>
                <c:pt idx="91">
                  <c:v>43</c:v>
                </c:pt>
                <c:pt idx="92">
                  <c:v>44</c:v>
                </c:pt>
                <c:pt idx="93">
                  <c:v>45</c:v>
                </c:pt>
                <c:pt idx="94">
                  <c:v>46</c:v>
                </c:pt>
                <c:pt idx="95">
                  <c:v>47</c:v>
                </c:pt>
                <c:pt idx="96">
                  <c:v>48</c:v>
                </c:pt>
              </c:numCache>
            </c:numRef>
          </c:xVal>
          <c:yVal>
            <c:numRef>
              <c:f>'[新建 XLSX 工作表.xlsx]Sheet2'!$I$3:$I$99</c:f>
              <c:numCache>
                <c:formatCode>General</c:formatCode>
                <c:ptCount val="97"/>
                <c:pt idx="0">
                  <c:v>0.186</c:v>
                </c:pt>
                <c:pt idx="1">
                  <c:v>0.192</c:v>
                </c:pt>
                <c:pt idx="2">
                  <c:v>0.197</c:v>
                </c:pt>
                <c:pt idx="3">
                  <c:v>0.203</c:v>
                </c:pt>
                <c:pt idx="4">
                  <c:v>0.209</c:v>
                </c:pt>
                <c:pt idx="5">
                  <c:v>0.215</c:v>
                </c:pt>
                <c:pt idx="6">
                  <c:v>0.222</c:v>
                </c:pt>
                <c:pt idx="7">
                  <c:v>0.228</c:v>
                </c:pt>
                <c:pt idx="8">
                  <c:v>0.235</c:v>
                </c:pt>
                <c:pt idx="9">
                  <c:v>0.242</c:v>
                </c:pt>
                <c:pt idx="10">
                  <c:v>0.249</c:v>
                </c:pt>
                <c:pt idx="11">
                  <c:v>0.255</c:v>
                </c:pt>
                <c:pt idx="12">
                  <c:v>0.262</c:v>
                </c:pt>
                <c:pt idx="13">
                  <c:v>0.269</c:v>
                </c:pt>
                <c:pt idx="14">
                  <c:v>0.275</c:v>
                </c:pt>
                <c:pt idx="15">
                  <c:v>0.282</c:v>
                </c:pt>
                <c:pt idx="16">
                  <c:v>0.288</c:v>
                </c:pt>
                <c:pt idx="17">
                  <c:v>0.293</c:v>
                </c:pt>
                <c:pt idx="18">
                  <c:v>0.298</c:v>
                </c:pt>
                <c:pt idx="19">
                  <c:v>0.303</c:v>
                </c:pt>
                <c:pt idx="20">
                  <c:v>0.307</c:v>
                </c:pt>
                <c:pt idx="21">
                  <c:v>0.311</c:v>
                </c:pt>
                <c:pt idx="22">
                  <c:v>0.315</c:v>
                </c:pt>
                <c:pt idx="23">
                  <c:v>0.320000000000001</c:v>
                </c:pt>
                <c:pt idx="24">
                  <c:v>0.327000000000001</c:v>
                </c:pt>
                <c:pt idx="25">
                  <c:v>0.34</c:v>
                </c:pt>
                <c:pt idx="26">
                  <c:v>0.361</c:v>
                </c:pt>
                <c:pt idx="27">
                  <c:v>0.398000000000001</c:v>
                </c:pt>
                <c:pt idx="28">
                  <c:v>0.457</c:v>
                </c:pt>
                <c:pt idx="29">
                  <c:v>0.548</c:v>
                </c:pt>
                <c:pt idx="30">
                  <c:v>0.68</c:v>
                </c:pt>
                <c:pt idx="31">
                  <c:v>0.865000000000001</c:v>
                </c:pt>
                <c:pt idx="32">
                  <c:v>1.116</c:v>
                </c:pt>
                <c:pt idx="33">
                  <c:v>1.45</c:v>
                </c:pt>
                <c:pt idx="34">
                  <c:v>1.886</c:v>
                </c:pt>
                <c:pt idx="35">
                  <c:v>2.445</c:v>
                </c:pt>
                <c:pt idx="36">
                  <c:v>3.141</c:v>
                </c:pt>
                <c:pt idx="37">
                  <c:v>3.971</c:v>
                </c:pt>
                <c:pt idx="38">
                  <c:v>4.89799999999999</c:v>
                </c:pt>
                <c:pt idx="39">
                  <c:v>5.822</c:v>
                </c:pt>
                <c:pt idx="40">
                  <c:v>6.583</c:v>
                </c:pt>
                <c:pt idx="41">
                  <c:v>6.996</c:v>
                </c:pt>
                <c:pt idx="42">
                  <c:v>6.956</c:v>
                </c:pt>
                <c:pt idx="43">
                  <c:v>6.51499999999999</c:v>
                </c:pt>
                <c:pt idx="44">
                  <c:v>5.844</c:v>
                </c:pt>
                <c:pt idx="45">
                  <c:v>5.141</c:v>
                </c:pt>
                <c:pt idx="46">
                  <c:v>4.553</c:v>
                </c:pt>
                <c:pt idx="47">
                  <c:v>4.16899999999999</c:v>
                </c:pt>
                <c:pt idx="48">
                  <c:v>4.036</c:v>
                </c:pt>
                <c:pt idx="49">
                  <c:v>4.16899999999999</c:v>
                </c:pt>
                <c:pt idx="50">
                  <c:v>4.553</c:v>
                </c:pt>
                <c:pt idx="51">
                  <c:v>5.141</c:v>
                </c:pt>
                <c:pt idx="52">
                  <c:v>5.844</c:v>
                </c:pt>
                <c:pt idx="53">
                  <c:v>6.51499999999999</c:v>
                </c:pt>
                <c:pt idx="54">
                  <c:v>6.956</c:v>
                </c:pt>
                <c:pt idx="55">
                  <c:v>6.996</c:v>
                </c:pt>
                <c:pt idx="56">
                  <c:v>6.583</c:v>
                </c:pt>
                <c:pt idx="57">
                  <c:v>5.822</c:v>
                </c:pt>
                <c:pt idx="58">
                  <c:v>4.89799999999999</c:v>
                </c:pt>
                <c:pt idx="59">
                  <c:v>3.971</c:v>
                </c:pt>
                <c:pt idx="60">
                  <c:v>3.141</c:v>
                </c:pt>
                <c:pt idx="61">
                  <c:v>2.445</c:v>
                </c:pt>
                <c:pt idx="62">
                  <c:v>1.886</c:v>
                </c:pt>
                <c:pt idx="63">
                  <c:v>1.45</c:v>
                </c:pt>
                <c:pt idx="64">
                  <c:v>1.116</c:v>
                </c:pt>
                <c:pt idx="65">
                  <c:v>0.865000000000001</c:v>
                </c:pt>
                <c:pt idx="66">
                  <c:v>0.68</c:v>
                </c:pt>
                <c:pt idx="67">
                  <c:v>0.548</c:v>
                </c:pt>
                <c:pt idx="68">
                  <c:v>0.457</c:v>
                </c:pt>
                <c:pt idx="69">
                  <c:v>0.398000000000001</c:v>
                </c:pt>
                <c:pt idx="70">
                  <c:v>0.361</c:v>
                </c:pt>
                <c:pt idx="71">
                  <c:v>0.34</c:v>
                </c:pt>
                <c:pt idx="72">
                  <c:v>0.327000000000001</c:v>
                </c:pt>
                <c:pt idx="73">
                  <c:v>0.320000000000001</c:v>
                </c:pt>
                <c:pt idx="74">
                  <c:v>0.315</c:v>
                </c:pt>
                <c:pt idx="75">
                  <c:v>0.311</c:v>
                </c:pt>
                <c:pt idx="76">
                  <c:v>0.307</c:v>
                </c:pt>
                <c:pt idx="77">
                  <c:v>0.303</c:v>
                </c:pt>
                <c:pt idx="78">
                  <c:v>0.298</c:v>
                </c:pt>
                <c:pt idx="79">
                  <c:v>0.293</c:v>
                </c:pt>
                <c:pt idx="80">
                  <c:v>0.288</c:v>
                </c:pt>
                <c:pt idx="81">
                  <c:v>0.282</c:v>
                </c:pt>
                <c:pt idx="82">
                  <c:v>0.275</c:v>
                </c:pt>
                <c:pt idx="83">
                  <c:v>0.269</c:v>
                </c:pt>
                <c:pt idx="84">
                  <c:v>0.262</c:v>
                </c:pt>
                <c:pt idx="85">
                  <c:v>0.255</c:v>
                </c:pt>
                <c:pt idx="86">
                  <c:v>0.249</c:v>
                </c:pt>
                <c:pt idx="87">
                  <c:v>0.242</c:v>
                </c:pt>
                <c:pt idx="88">
                  <c:v>0.235</c:v>
                </c:pt>
                <c:pt idx="89">
                  <c:v>0.228</c:v>
                </c:pt>
                <c:pt idx="90">
                  <c:v>0.222</c:v>
                </c:pt>
                <c:pt idx="91">
                  <c:v>0.215</c:v>
                </c:pt>
                <c:pt idx="92">
                  <c:v>0.209</c:v>
                </c:pt>
                <c:pt idx="93">
                  <c:v>0.203</c:v>
                </c:pt>
                <c:pt idx="94">
                  <c:v>0.197</c:v>
                </c:pt>
                <c:pt idx="95">
                  <c:v>0.192</c:v>
                </c:pt>
                <c:pt idx="96">
                  <c:v>0.186</c:v>
                </c:pt>
              </c:numCache>
            </c:numRef>
          </c:yVal>
          <c:smooth val="1"/>
        </c:ser>
        <c:dLbls>
          <c:showLegendKey val="0"/>
          <c:showVal val="0"/>
          <c:showCatName val="0"/>
          <c:showSerName val="0"/>
          <c:showPercent val="0"/>
          <c:showBubbleSize val="0"/>
        </c:dLbls>
        <c:axId val="230455936"/>
        <c:axId val="230458112"/>
      </c:scatterChart>
      <c:valAx>
        <c:axId val="230455936"/>
        <c:scaling>
          <c:orientation val="minMax"/>
          <c:max val="50"/>
          <c:min val="-50"/>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据预测中心距离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58112"/>
        <c:crosses val="autoZero"/>
        <c:crossBetween val="midCat"/>
      </c:valAx>
      <c:valAx>
        <c:axId val="230458112"/>
        <c:scaling>
          <c:orientation val="minMax"/>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kV/m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55936"/>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029687ec-b9cf-485f-9bed-c9a33b5f916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双回路工频磁感应强度贡献值</a:t>
            </a:r>
            <a:endParaRPr lang="en-US" altLang="zh-CN"/>
          </a:p>
        </c:rich>
      </c:tx>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工作表.xlsx]Sheet2'!$J$3:$J$99</c:f>
              <c:numCache>
                <c:formatCode>General</c:formatCode>
                <c:ptCount val="97"/>
                <c:pt idx="0">
                  <c:v>-48</c:v>
                </c:pt>
                <c:pt idx="1">
                  <c:v>-47</c:v>
                </c:pt>
                <c:pt idx="2">
                  <c:v>-46</c:v>
                </c:pt>
                <c:pt idx="3">
                  <c:v>-45</c:v>
                </c:pt>
                <c:pt idx="4">
                  <c:v>-44</c:v>
                </c:pt>
                <c:pt idx="5">
                  <c:v>-43</c:v>
                </c:pt>
                <c:pt idx="6">
                  <c:v>-42</c:v>
                </c:pt>
                <c:pt idx="7">
                  <c:v>-41</c:v>
                </c:pt>
                <c:pt idx="8">
                  <c:v>-40</c:v>
                </c:pt>
                <c:pt idx="9">
                  <c:v>-39</c:v>
                </c:pt>
                <c:pt idx="10">
                  <c:v>-38</c:v>
                </c:pt>
                <c:pt idx="11">
                  <c:v>-37</c:v>
                </c:pt>
                <c:pt idx="12">
                  <c:v>-36</c:v>
                </c:pt>
                <c:pt idx="13">
                  <c:v>-35</c:v>
                </c:pt>
                <c:pt idx="14">
                  <c:v>-34</c:v>
                </c:pt>
                <c:pt idx="15">
                  <c:v>-33</c:v>
                </c:pt>
                <c:pt idx="16">
                  <c:v>-32</c:v>
                </c:pt>
                <c:pt idx="17">
                  <c:v>-31</c:v>
                </c:pt>
                <c:pt idx="18">
                  <c:v>-30</c:v>
                </c:pt>
                <c:pt idx="19">
                  <c:v>-29</c:v>
                </c:pt>
                <c:pt idx="20">
                  <c:v>-28</c:v>
                </c:pt>
                <c:pt idx="21">
                  <c:v>-27</c:v>
                </c:pt>
                <c:pt idx="22">
                  <c:v>-26</c:v>
                </c:pt>
                <c:pt idx="23">
                  <c:v>-25</c:v>
                </c:pt>
                <c:pt idx="24">
                  <c:v>-24</c:v>
                </c:pt>
                <c:pt idx="25">
                  <c:v>-23</c:v>
                </c:pt>
                <c:pt idx="26">
                  <c:v>-22</c:v>
                </c:pt>
                <c:pt idx="27">
                  <c:v>-21</c:v>
                </c:pt>
                <c:pt idx="28">
                  <c:v>-20</c:v>
                </c:pt>
                <c:pt idx="29">
                  <c:v>-19</c:v>
                </c:pt>
                <c:pt idx="30">
                  <c:v>-18</c:v>
                </c:pt>
                <c:pt idx="31">
                  <c:v>-17</c:v>
                </c:pt>
                <c:pt idx="32">
                  <c:v>-16</c:v>
                </c:pt>
                <c:pt idx="33">
                  <c:v>-15</c:v>
                </c:pt>
                <c:pt idx="34">
                  <c:v>-14</c:v>
                </c:pt>
                <c:pt idx="35">
                  <c:v>-13</c:v>
                </c:pt>
                <c:pt idx="36">
                  <c:v>-12</c:v>
                </c:pt>
                <c:pt idx="37">
                  <c:v>-11</c:v>
                </c:pt>
                <c:pt idx="38">
                  <c:v>-10</c:v>
                </c:pt>
                <c:pt idx="39">
                  <c:v>-9</c:v>
                </c:pt>
                <c:pt idx="40">
                  <c:v>-8</c:v>
                </c:pt>
                <c:pt idx="41">
                  <c:v>-7</c:v>
                </c:pt>
                <c:pt idx="42">
                  <c:v>-6</c:v>
                </c:pt>
                <c:pt idx="43">
                  <c:v>-5</c:v>
                </c:pt>
                <c:pt idx="44">
                  <c:v>-4</c:v>
                </c:pt>
                <c:pt idx="45">
                  <c:v>-3</c:v>
                </c:pt>
                <c:pt idx="46">
                  <c:v>-2</c:v>
                </c:pt>
                <c:pt idx="47">
                  <c:v>-1</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24</c:v>
                </c:pt>
                <c:pt idx="73">
                  <c:v>25</c:v>
                </c:pt>
                <c:pt idx="74">
                  <c:v>26</c:v>
                </c:pt>
                <c:pt idx="75">
                  <c:v>27</c:v>
                </c:pt>
                <c:pt idx="76">
                  <c:v>28</c:v>
                </c:pt>
                <c:pt idx="77">
                  <c:v>29</c:v>
                </c:pt>
                <c:pt idx="78">
                  <c:v>30</c:v>
                </c:pt>
                <c:pt idx="79">
                  <c:v>31</c:v>
                </c:pt>
                <c:pt idx="80">
                  <c:v>32</c:v>
                </c:pt>
                <c:pt idx="81">
                  <c:v>33</c:v>
                </c:pt>
                <c:pt idx="82">
                  <c:v>34</c:v>
                </c:pt>
                <c:pt idx="83">
                  <c:v>35</c:v>
                </c:pt>
                <c:pt idx="84">
                  <c:v>36</c:v>
                </c:pt>
                <c:pt idx="85">
                  <c:v>37</c:v>
                </c:pt>
                <c:pt idx="86">
                  <c:v>38</c:v>
                </c:pt>
                <c:pt idx="87">
                  <c:v>39</c:v>
                </c:pt>
                <c:pt idx="88">
                  <c:v>40</c:v>
                </c:pt>
                <c:pt idx="89">
                  <c:v>41</c:v>
                </c:pt>
                <c:pt idx="90">
                  <c:v>42</c:v>
                </c:pt>
                <c:pt idx="91">
                  <c:v>43</c:v>
                </c:pt>
                <c:pt idx="92">
                  <c:v>44</c:v>
                </c:pt>
                <c:pt idx="93">
                  <c:v>45</c:v>
                </c:pt>
                <c:pt idx="94">
                  <c:v>46</c:v>
                </c:pt>
                <c:pt idx="95">
                  <c:v>47</c:v>
                </c:pt>
                <c:pt idx="96">
                  <c:v>48</c:v>
                </c:pt>
              </c:numCache>
            </c:numRef>
          </c:xVal>
          <c:yVal>
            <c:numRef>
              <c:f>'[新建 XLSX 工作表.xlsx]Sheet2'!$K$3:$K$99</c:f>
              <c:numCache>
                <c:formatCode>General</c:formatCode>
                <c:ptCount val="97"/>
                <c:pt idx="0">
                  <c:v>2.44</c:v>
                </c:pt>
                <c:pt idx="1">
                  <c:v>2.54</c:v>
                </c:pt>
                <c:pt idx="2">
                  <c:v>2.65</c:v>
                </c:pt>
                <c:pt idx="3">
                  <c:v>2.76</c:v>
                </c:pt>
                <c:pt idx="4">
                  <c:v>2.89</c:v>
                </c:pt>
                <c:pt idx="5">
                  <c:v>3.02</c:v>
                </c:pt>
                <c:pt idx="6">
                  <c:v>3.16</c:v>
                </c:pt>
                <c:pt idx="7">
                  <c:v>3.31</c:v>
                </c:pt>
                <c:pt idx="8">
                  <c:v>3.47</c:v>
                </c:pt>
                <c:pt idx="9">
                  <c:v>3.64</c:v>
                </c:pt>
                <c:pt idx="10">
                  <c:v>3.82</c:v>
                </c:pt>
                <c:pt idx="11">
                  <c:v>4.02</c:v>
                </c:pt>
                <c:pt idx="12">
                  <c:v>4.24</c:v>
                </c:pt>
                <c:pt idx="13">
                  <c:v>4.47</c:v>
                </c:pt>
                <c:pt idx="14">
                  <c:v>4.72</c:v>
                </c:pt>
                <c:pt idx="15">
                  <c:v>4.99</c:v>
                </c:pt>
                <c:pt idx="16">
                  <c:v>5.29</c:v>
                </c:pt>
                <c:pt idx="17">
                  <c:v>5.61</c:v>
                </c:pt>
                <c:pt idx="18">
                  <c:v>5.96</c:v>
                </c:pt>
                <c:pt idx="19">
                  <c:v>6.34</c:v>
                </c:pt>
                <c:pt idx="20">
                  <c:v>6.76</c:v>
                </c:pt>
                <c:pt idx="21">
                  <c:v>7.22</c:v>
                </c:pt>
                <c:pt idx="22">
                  <c:v>7.73</c:v>
                </c:pt>
                <c:pt idx="23">
                  <c:v>8.28</c:v>
                </c:pt>
                <c:pt idx="24">
                  <c:v>8.9</c:v>
                </c:pt>
                <c:pt idx="25">
                  <c:v>9.59</c:v>
                </c:pt>
                <c:pt idx="26">
                  <c:v>10.35</c:v>
                </c:pt>
                <c:pt idx="27">
                  <c:v>11.2</c:v>
                </c:pt>
                <c:pt idx="28">
                  <c:v>12.15</c:v>
                </c:pt>
                <c:pt idx="29">
                  <c:v>13.22</c:v>
                </c:pt>
                <c:pt idx="30">
                  <c:v>14.41</c:v>
                </c:pt>
                <c:pt idx="31">
                  <c:v>15.76</c:v>
                </c:pt>
                <c:pt idx="32">
                  <c:v>17.28</c:v>
                </c:pt>
                <c:pt idx="33">
                  <c:v>18.99</c:v>
                </c:pt>
                <c:pt idx="34">
                  <c:v>20.89</c:v>
                </c:pt>
                <c:pt idx="35">
                  <c:v>23</c:v>
                </c:pt>
                <c:pt idx="36">
                  <c:v>25.28</c:v>
                </c:pt>
                <c:pt idx="37">
                  <c:v>27.63</c:v>
                </c:pt>
                <c:pt idx="38">
                  <c:v>29.86</c:v>
                </c:pt>
                <c:pt idx="39">
                  <c:v>31.6</c:v>
                </c:pt>
                <c:pt idx="40">
                  <c:v>32.37</c:v>
                </c:pt>
                <c:pt idx="41">
                  <c:v>31.68</c:v>
                </c:pt>
                <c:pt idx="42">
                  <c:v>29.39</c:v>
                </c:pt>
                <c:pt idx="43">
                  <c:v>25.81</c:v>
                </c:pt>
                <c:pt idx="44">
                  <c:v>21.54</c:v>
                </c:pt>
                <c:pt idx="45">
                  <c:v>17.18</c:v>
                </c:pt>
                <c:pt idx="46">
                  <c:v>13.23</c:v>
                </c:pt>
                <c:pt idx="47">
                  <c:v>10.24</c:v>
                </c:pt>
                <c:pt idx="48">
                  <c:v>9.05</c:v>
                </c:pt>
                <c:pt idx="49">
                  <c:v>10.24</c:v>
                </c:pt>
                <c:pt idx="50">
                  <c:v>13.23</c:v>
                </c:pt>
                <c:pt idx="51">
                  <c:v>17.18</c:v>
                </c:pt>
                <c:pt idx="52">
                  <c:v>21.54</c:v>
                </c:pt>
                <c:pt idx="53">
                  <c:v>25.81</c:v>
                </c:pt>
                <c:pt idx="54">
                  <c:v>29.39</c:v>
                </c:pt>
                <c:pt idx="55">
                  <c:v>31.68</c:v>
                </c:pt>
                <c:pt idx="56">
                  <c:v>32.37</c:v>
                </c:pt>
                <c:pt idx="57">
                  <c:v>31.6</c:v>
                </c:pt>
                <c:pt idx="58">
                  <c:v>29.86</c:v>
                </c:pt>
                <c:pt idx="59">
                  <c:v>27.63</c:v>
                </c:pt>
                <c:pt idx="60">
                  <c:v>25.28</c:v>
                </c:pt>
                <c:pt idx="61">
                  <c:v>23</c:v>
                </c:pt>
                <c:pt idx="62">
                  <c:v>20.89</c:v>
                </c:pt>
                <c:pt idx="63">
                  <c:v>18.99</c:v>
                </c:pt>
                <c:pt idx="64">
                  <c:v>17.28</c:v>
                </c:pt>
                <c:pt idx="65">
                  <c:v>15.76</c:v>
                </c:pt>
                <c:pt idx="66">
                  <c:v>14.41</c:v>
                </c:pt>
                <c:pt idx="67">
                  <c:v>13.22</c:v>
                </c:pt>
                <c:pt idx="68">
                  <c:v>12.15</c:v>
                </c:pt>
                <c:pt idx="69">
                  <c:v>11.2</c:v>
                </c:pt>
                <c:pt idx="70">
                  <c:v>10.35</c:v>
                </c:pt>
                <c:pt idx="71">
                  <c:v>9.59</c:v>
                </c:pt>
                <c:pt idx="72">
                  <c:v>8.9</c:v>
                </c:pt>
                <c:pt idx="73">
                  <c:v>8.28</c:v>
                </c:pt>
                <c:pt idx="74">
                  <c:v>7.73</c:v>
                </c:pt>
                <c:pt idx="75">
                  <c:v>7.22</c:v>
                </c:pt>
                <c:pt idx="76">
                  <c:v>6.76</c:v>
                </c:pt>
                <c:pt idx="77">
                  <c:v>6.34</c:v>
                </c:pt>
                <c:pt idx="78">
                  <c:v>5.96</c:v>
                </c:pt>
                <c:pt idx="79">
                  <c:v>5.61</c:v>
                </c:pt>
                <c:pt idx="80">
                  <c:v>5.29</c:v>
                </c:pt>
                <c:pt idx="81">
                  <c:v>4.99</c:v>
                </c:pt>
                <c:pt idx="82">
                  <c:v>4.72</c:v>
                </c:pt>
                <c:pt idx="83">
                  <c:v>4.47</c:v>
                </c:pt>
                <c:pt idx="84">
                  <c:v>4.24</c:v>
                </c:pt>
                <c:pt idx="85">
                  <c:v>4.02</c:v>
                </c:pt>
                <c:pt idx="86">
                  <c:v>3.82</c:v>
                </c:pt>
                <c:pt idx="87">
                  <c:v>3.64</c:v>
                </c:pt>
                <c:pt idx="88">
                  <c:v>3.47</c:v>
                </c:pt>
                <c:pt idx="89">
                  <c:v>3.31</c:v>
                </c:pt>
                <c:pt idx="90">
                  <c:v>3.16</c:v>
                </c:pt>
                <c:pt idx="91">
                  <c:v>3.02</c:v>
                </c:pt>
                <c:pt idx="92">
                  <c:v>2.89</c:v>
                </c:pt>
                <c:pt idx="93">
                  <c:v>2.76</c:v>
                </c:pt>
                <c:pt idx="94">
                  <c:v>2.65</c:v>
                </c:pt>
                <c:pt idx="95">
                  <c:v>2.54</c:v>
                </c:pt>
                <c:pt idx="96">
                  <c:v>2.44</c:v>
                </c:pt>
              </c:numCache>
            </c:numRef>
          </c:yVal>
          <c:smooth val="1"/>
        </c:ser>
        <c:dLbls>
          <c:showLegendKey val="0"/>
          <c:showVal val="0"/>
          <c:showCatName val="0"/>
          <c:showSerName val="0"/>
          <c:showPercent val="0"/>
          <c:showBubbleSize val="0"/>
        </c:dLbls>
        <c:axId val="230478976"/>
        <c:axId val="230480896"/>
      </c:scatterChart>
      <c:valAx>
        <c:axId val="230478976"/>
        <c:scaling>
          <c:orientation val="minMax"/>
          <c:max val="50"/>
          <c:min val="-50"/>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距预测中心距离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80896"/>
        <c:crosses val="autoZero"/>
        <c:crossBetween val="midCat"/>
      </c:valAx>
      <c:valAx>
        <c:axId val="230480896"/>
        <c:scaling>
          <c:orientation val="minMax"/>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uT</a:t>
                </a:r>
                <a:endParaRPr lang="en-US" altLang="zh-CN"/>
              </a:p>
            </c:rich>
          </c:tx>
          <c:layout>
            <c:manualLayout>
              <c:xMode val="edge"/>
              <c:yMode val="edge"/>
              <c:x val="0.0309210526315789"/>
              <c:y val="0.3657870370370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478976"/>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d4ef6277-68ad-4e46-b96a-7d59546a14e8}"/>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单回路</a:t>
            </a:r>
            <a:r>
              <a:rPr lang="en-US" altLang="zh-CN"/>
              <a:t>4kV/m</a:t>
            </a:r>
            <a:r>
              <a:rPr altLang="en-US"/>
              <a:t>等值线图</a:t>
            </a:r>
            <a:endParaRPr lang="en-US" altLang="zh-CN"/>
          </a:p>
        </c:rich>
      </c:tx>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工作表.xlsx]Sheet3'!$Q$83:$Q$97</c:f>
              <c:numCache>
                <c:formatCode>General</c:formatCode>
                <c:ptCount val="15"/>
                <c:pt idx="0">
                  <c:v>-8</c:v>
                </c:pt>
                <c:pt idx="1">
                  <c:v>-9.8</c:v>
                </c:pt>
                <c:pt idx="2">
                  <c:v>-10.76</c:v>
                </c:pt>
                <c:pt idx="3">
                  <c:v>-11.39</c:v>
                </c:pt>
                <c:pt idx="4">
                  <c:v>-11.86</c:v>
                </c:pt>
                <c:pt idx="5">
                  <c:v>-12.21</c:v>
                </c:pt>
                <c:pt idx="6">
                  <c:v>-12.49</c:v>
                </c:pt>
                <c:pt idx="7">
                  <c:v>-12.69</c:v>
                </c:pt>
                <c:pt idx="9">
                  <c:v>7.8</c:v>
                </c:pt>
                <c:pt idx="10">
                  <c:v>9.44</c:v>
                </c:pt>
                <c:pt idx="11">
                  <c:v>10.34</c:v>
                </c:pt>
                <c:pt idx="12">
                  <c:v>10.92</c:v>
                </c:pt>
                <c:pt idx="13">
                  <c:v>11.34</c:v>
                </c:pt>
                <c:pt idx="14">
                  <c:v>11.65</c:v>
                </c:pt>
              </c:numCache>
            </c:numRef>
          </c:xVal>
          <c:yVal>
            <c:numRef>
              <c:f>'[新建 XLSX 工作表.xlsx]Sheet3'!$R$83:$R$97</c:f>
              <c:numCache>
                <c:formatCode>General</c:formatCode>
                <c:ptCount val="15"/>
                <c:pt idx="0">
                  <c:v>9.9</c:v>
                </c:pt>
                <c:pt idx="1">
                  <c:v>9.5</c:v>
                </c:pt>
                <c:pt idx="2">
                  <c:v>9</c:v>
                </c:pt>
                <c:pt idx="3">
                  <c:v>8.5</c:v>
                </c:pt>
                <c:pt idx="4">
                  <c:v>8</c:v>
                </c:pt>
                <c:pt idx="5">
                  <c:v>7.5</c:v>
                </c:pt>
                <c:pt idx="6">
                  <c:v>7</c:v>
                </c:pt>
                <c:pt idx="7">
                  <c:v>6.5</c:v>
                </c:pt>
                <c:pt idx="9">
                  <c:v>8.8</c:v>
                </c:pt>
                <c:pt idx="10">
                  <c:v>8.5</c:v>
                </c:pt>
                <c:pt idx="11">
                  <c:v>8</c:v>
                </c:pt>
                <c:pt idx="12">
                  <c:v>7.5</c:v>
                </c:pt>
                <c:pt idx="13">
                  <c:v>7</c:v>
                </c:pt>
                <c:pt idx="14">
                  <c:v>6.5</c:v>
                </c:pt>
              </c:numCache>
            </c:numRef>
          </c:yVal>
          <c:smooth val="1"/>
        </c:ser>
        <c:dLbls>
          <c:showLegendKey val="0"/>
          <c:showVal val="0"/>
          <c:showCatName val="0"/>
          <c:showSerName val="0"/>
          <c:showPercent val="0"/>
          <c:showBubbleSize val="0"/>
        </c:dLbls>
        <c:axId val="230759808"/>
        <c:axId val="230761984"/>
      </c:scatterChart>
      <c:valAx>
        <c:axId val="230759808"/>
        <c:scaling>
          <c:orientation val="minMax"/>
        </c:scaling>
        <c:delete val="0"/>
        <c:axPos val="b"/>
        <c:majorGridlines>
          <c:spPr>
            <a:ln w="9525" cap="flat" cmpd="sng" algn="ctr">
              <a:solidFill>
                <a:schemeClr val="lt1">
                  <a:lumMod val="90200"/>
                </a:schemeClr>
              </a:solidFill>
              <a:prstDash val="solid"/>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距预测中心距离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761984"/>
        <c:crosses val="autoZero"/>
        <c:crossBetween val="midCat"/>
      </c:valAx>
      <c:valAx>
        <c:axId val="230761984"/>
        <c:scaling>
          <c:orientation val="minMax"/>
          <c:max val="10"/>
          <c:min val="6.5"/>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高度</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759808"/>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0ddfd9f7-6ba7-413e-8bf9-cf46ea0da055}"/>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双回路</a:t>
            </a:r>
            <a:r>
              <a:rPr lang="en-US" altLang="zh-CN"/>
              <a:t>4kV/m</a:t>
            </a:r>
            <a:r>
              <a:rPr altLang="en-US"/>
              <a:t>等值线图</a:t>
            </a:r>
            <a:endParaRPr altLang="en-US"/>
          </a:p>
        </c:rich>
      </c:tx>
      <c:layout>
        <c:manualLayout>
          <c:xMode val="edge"/>
          <c:yMode val="edge"/>
          <c:x val="0.418421052631579"/>
          <c:y val="0.0243055555555556"/>
        </c:manualLayout>
      </c:layout>
      <c:overlay val="0"/>
      <c:spPr>
        <a:noFill/>
        <a:ln>
          <a:noFill/>
        </a:ln>
        <a:effectLst/>
      </c:spPr>
    </c:title>
    <c:autoTitleDeleted val="0"/>
    <c:plotArea>
      <c:layout/>
      <c:scatterChart>
        <c:scatterStyle val="smoothMarker"/>
        <c:varyColors val="0"/>
        <c:ser>
          <c:idx val="0"/>
          <c:order val="0"/>
          <c:spPr>
            <a:ln w="19050" cap="rnd" cmpd="sng" algn="ctr">
              <a:solidFill>
                <a:schemeClr val="accent1"/>
              </a:solidFill>
              <a:prstDash val="solid"/>
              <a:round/>
            </a:ln>
            <a:effectLst/>
          </c:spPr>
          <c:marker>
            <c:symbol val="none"/>
          </c:marker>
          <c:dLbls>
            <c:delete val="1"/>
          </c:dLbls>
          <c:xVal>
            <c:numRef>
              <c:f>'[新建 XLSX 工作表.xlsx]Sheet2'!$K$118:$K$136</c:f>
              <c:numCache>
                <c:formatCode>General</c:formatCode>
                <c:ptCount val="19"/>
                <c:pt idx="1">
                  <c:v>-5.61</c:v>
                </c:pt>
                <c:pt idx="2">
                  <c:v>-7.92</c:v>
                </c:pt>
                <c:pt idx="3">
                  <c:v>-8.85000000000001</c:v>
                </c:pt>
                <c:pt idx="4">
                  <c:v>-9.51</c:v>
                </c:pt>
                <c:pt idx="5">
                  <c:v>-10.01</c:v>
                </c:pt>
                <c:pt idx="6">
                  <c:v>-10.4</c:v>
                </c:pt>
                <c:pt idx="7">
                  <c:v>-10.72</c:v>
                </c:pt>
                <c:pt idx="8">
                  <c:v>-10.97</c:v>
                </c:pt>
                <c:pt idx="11">
                  <c:v>5.61</c:v>
                </c:pt>
                <c:pt idx="12">
                  <c:v>7.92</c:v>
                </c:pt>
                <c:pt idx="13">
                  <c:v>8.85000000000001</c:v>
                </c:pt>
                <c:pt idx="14">
                  <c:v>9.51</c:v>
                </c:pt>
                <c:pt idx="15">
                  <c:v>10.01</c:v>
                </c:pt>
                <c:pt idx="16">
                  <c:v>10.4</c:v>
                </c:pt>
                <c:pt idx="17">
                  <c:v>10.72</c:v>
                </c:pt>
                <c:pt idx="18">
                  <c:v>10.97</c:v>
                </c:pt>
              </c:numCache>
            </c:numRef>
          </c:xVal>
          <c:yVal>
            <c:numRef>
              <c:f>'[新建 XLSX 工作表.xlsx]Sheet2'!$L$118:$L$136</c:f>
              <c:numCache>
                <c:formatCode>General</c:formatCode>
                <c:ptCount val="19"/>
                <c:pt idx="1">
                  <c:v>10</c:v>
                </c:pt>
                <c:pt idx="2">
                  <c:v>9.5</c:v>
                </c:pt>
                <c:pt idx="3">
                  <c:v>9</c:v>
                </c:pt>
                <c:pt idx="4">
                  <c:v>8.5</c:v>
                </c:pt>
                <c:pt idx="5">
                  <c:v>8</c:v>
                </c:pt>
                <c:pt idx="6">
                  <c:v>7.5</c:v>
                </c:pt>
                <c:pt idx="7">
                  <c:v>7</c:v>
                </c:pt>
                <c:pt idx="8">
                  <c:v>6.5</c:v>
                </c:pt>
                <c:pt idx="11">
                  <c:v>10</c:v>
                </c:pt>
                <c:pt idx="12">
                  <c:v>9.5</c:v>
                </c:pt>
                <c:pt idx="13">
                  <c:v>9</c:v>
                </c:pt>
                <c:pt idx="14">
                  <c:v>8.5</c:v>
                </c:pt>
                <c:pt idx="15">
                  <c:v>8</c:v>
                </c:pt>
                <c:pt idx="16">
                  <c:v>7.5</c:v>
                </c:pt>
                <c:pt idx="17">
                  <c:v>7</c:v>
                </c:pt>
                <c:pt idx="18">
                  <c:v>6.5</c:v>
                </c:pt>
              </c:numCache>
            </c:numRef>
          </c:yVal>
          <c:smooth val="1"/>
        </c:ser>
        <c:dLbls>
          <c:showLegendKey val="0"/>
          <c:showVal val="0"/>
          <c:showCatName val="0"/>
          <c:showSerName val="0"/>
          <c:showPercent val="0"/>
          <c:showBubbleSize val="0"/>
        </c:dLbls>
        <c:axId val="230774656"/>
        <c:axId val="230825984"/>
      </c:scatterChart>
      <c:valAx>
        <c:axId val="230774656"/>
        <c:scaling>
          <c:orientation val="minMax"/>
          <c:max val="12"/>
          <c:min val="-12"/>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距预测中心距离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825984"/>
        <c:crosses val="autoZero"/>
        <c:crossBetween val="midCat"/>
        <c:majorUnit val="4"/>
      </c:valAx>
      <c:valAx>
        <c:axId val="230825984"/>
        <c:scaling>
          <c:orientation val="minMax"/>
          <c:min val="6.5"/>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高度</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774656"/>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c3e7ae6e-f1ea-46b2-9d3a-d357823ca4c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3074"/>
    <customShpInfo spid="_x0000_s307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055DA3-14F9-4A18-A18B-B7F863F03F90}">
  <ds:schemaRefs/>
</ds:datastoreItem>
</file>

<file path=docProps/app.xml><?xml version="1.0" encoding="utf-8"?>
<Properties xmlns="http://schemas.openxmlformats.org/officeDocument/2006/extended-properties" xmlns:vt="http://schemas.openxmlformats.org/officeDocument/2006/docPropsVTypes">
  <Template>Normal.dotm</Template>
  <Company>QBPC</Company>
  <Pages>94</Pages>
  <Words>9760</Words>
  <Characters>10530</Characters>
  <Lines>492</Lines>
  <Paragraphs>138</Paragraphs>
  <TotalTime>26</TotalTime>
  <ScaleCrop>false</ScaleCrop>
  <LinksUpToDate>false</LinksUpToDate>
  <CharactersWithSpaces>10711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2025-01-10T02:40:00Z</dcterms:created>
  <dc:creator>杨晓艺</dc:creator>
  <cp:lastModifiedBy>微笑的鱼</cp:lastModifiedBy>
  <cp:lastPrinted>2025-03-18T06:00:00Z</cp:lastPrinted>
  <dcterms:modified xsi:type="dcterms:W3CDTF">2025-04-15T07:26:32Z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3748B94CFC334081A526EFC66317DCA7_13</vt:lpwstr>
  </property>
  <property fmtid="{D5CDD505-2E9C-101B-9397-08002B2CF9AE}" pid="4" name="KSOTemplateDocerSaveRecord">
    <vt:lpwstr>eyJoZGlkIjoiNGUyYTg5YjBmNmEwZjI2MGJiZmVmNDkxOTQ3ZjViOTkiLCJ1c2VySWQiOiI1MjkyNjU2NDgifQ==</vt:lpwstr>
  </property>
</Properties>
</file>